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EFAA62">
      <w:pPr>
        <w:spacing w:line="360" w:lineRule="auto"/>
        <w:rPr>
          <w:rFonts w:asciiTheme="minorEastAsia" w:hAnsiTheme="minorEastAsia" w:eastAsiaTheme="minorEastAsia" w:cstheme="minorEastAsia"/>
          <w:b/>
          <w:bCs/>
          <w:color w:val="0D0D0D" w:themeColor="text1" w:themeTint="F2"/>
          <w14:textFill>
            <w14:solidFill>
              <w14:schemeClr w14:val="tx1">
                <w14:lumMod w14:val="95000"/>
                <w14:lumOff w14:val="5000"/>
              </w14:schemeClr>
            </w14:solidFill>
          </w14:textFill>
        </w:rPr>
      </w:pPr>
    </w:p>
    <w:p w14:paraId="72B5B7FA">
      <w:pPr>
        <w:jc w:val="center"/>
        <w:rPr>
          <w:rFonts w:asciiTheme="minorEastAsia" w:hAnsiTheme="minorEastAsia" w:eastAsiaTheme="minorEastAsia" w:cstheme="minorEastAsia"/>
          <w:b/>
          <w:bCs/>
          <w:sz w:val="32"/>
          <w:szCs w:val="32"/>
        </w:rPr>
      </w:pPr>
    </w:p>
    <w:p w14:paraId="4CA0E416">
      <w:pPr>
        <w:spacing w:line="800" w:lineRule="exact"/>
        <w:ind w:left="960" w:hanging="964" w:hangingChars="200"/>
        <w:jc w:val="both"/>
        <w:rPr>
          <w:rFonts w:hint="eastAsia" w:ascii="宋体" w:hAnsi="宋体" w:eastAsia="宋体" w:cs="宋体"/>
          <w:b/>
          <w:bCs w:val="0"/>
          <w:color w:val="000000"/>
          <w:kern w:val="0"/>
          <w:sz w:val="48"/>
          <w:szCs w:val="48"/>
          <w:highlight w:val="none"/>
          <w:lang w:val="en-US" w:eastAsia="zh-CN"/>
        </w:rPr>
      </w:pPr>
      <w:r>
        <w:rPr>
          <w:rFonts w:hint="eastAsia" w:ascii="宋体" w:hAnsi="宋体" w:eastAsia="宋体" w:cs="宋体"/>
          <w:b/>
          <w:bCs w:val="0"/>
          <w:sz w:val="48"/>
          <w:szCs w:val="48"/>
          <w:highlight w:val="none"/>
        </w:rPr>
        <w:t>南通市通州区水务有限公司</w:t>
      </w:r>
      <w:r>
        <w:rPr>
          <w:rFonts w:hint="eastAsia" w:ascii="宋体" w:hAnsi="宋体" w:eastAsia="宋体" w:cs="宋体"/>
          <w:b/>
          <w:bCs w:val="0"/>
          <w:sz w:val="48"/>
          <w:szCs w:val="48"/>
          <w:highlight w:val="none"/>
          <w:lang w:val="en-US" w:eastAsia="zh-CN"/>
        </w:rPr>
        <w:t>0.4KV有源滤波器成套设备采购及安装项目</w:t>
      </w:r>
    </w:p>
    <w:p w14:paraId="1BB85BAE">
      <w:pPr>
        <w:spacing w:line="360" w:lineRule="auto"/>
        <w:rPr>
          <w:rFonts w:hint="eastAsia" w:ascii="宋体" w:hAnsi="宋体" w:eastAsia="宋体" w:cs="宋体"/>
          <w:b/>
          <w:bCs w:val="0"/>
          <w:color w:val="0D0D0D" w:themeColor="text1" w:themeTint="F2"/>
          <w:sz w:val="48"/>
          <w:szCs w:val="48"/>
          <w:highlight w:val="none"/>
          <w14:textFill>
            <w14:solidFill>
              <w14:schemeClr w14:val="tx1">
                <w14:lumMod w14:val="95000"/>
                <w14:lumOff w14:val="5000"/>
              </w14:schemeClr>
            </w14:solidFill>
          </w14:textFill>
        </w:rPr>
      </w:pPr>
    </w:p>
    <w:p w14:paraId="0539A9EF">
      <w:pPr>
        <w:spacing w:line="360" w:lineRule="auto"/>
        <w:jc w:val="center"/>
        <w:rPr>
          <w:rFonts w:asciiTheme="minorEastAsia" w:hAnsiTheme="minorEastAsia" w:eastAsiaTheme="minorEastAsia" w:cstheme="minorEastAsia"/>
          <w:bCs/>
          <w:color w:val="0D0D0D" w:themeColor="text1" w:themeTint="F2"/>
          <w:highlight w:val="none"/>
          <w14:textFill>
            <w14:solidFill>
              <w14:schemeClr w14:val="tx1">
                <w14:lumMod w14:val="95000"/>
                <w14:lumOff w14:val="5000"/>
              </w14:schemeClr>
            </w14:solidFill>
          </w14:textFill>
        </w:rPr>
      </w:pPr>
    </w:p>
    <w:p w14:paraId="61FE6746">
      <w:pPr>
        <w:spacing w:line="360" w:lineRule="auto"/>
        <w:jc w:val="center"/>
        <w:rPr>
          <w:rFonts w:asciiTheme="minorEastAsia" w:hAnsiTheme="minorEastAsia" w:eastAsiaTheme="minorEastAsia" w:cstheme="minorEastAsia"/>
          <w:bCs/>
          <w:color w:val="0D0D0D" w:themeColor="text1" w:themeTint="F2"/>
          <w:sz w:val="32"/>
          <w:szCs w:val="32"/>
          <w:highlight w:val="none"/>
          <w14:textFill>
            <w14:solidFill>
              <w14:schemeClr w14:val="tx1">
                <w14:lumMod w14:val="95000"/>
                <w14:lumOff w14:val="5000"/>
              </w14:schemeClr>
            </w14:solidFill>
          </w14:textFill>
        </w:rPr>
      </w:pPr>
    </w:p>
    <w:p w14:paraId="541A55D7">
      <w:pPr>
        <w:spacing w:line="360" w:lineRule="auto"/>
        <w:jc w:val="center"/>
        <w:rPr>
          <w:rFonts w:asciiTheme="minorEastAsia" w:hAnsiTheme="minorEastAsia" w:eastAsiaTheme="minorEastAsia" w:cstheme="minorEastAsia"/>
          <w:bCs/>
          <w:color w:val="0D0D0D" w:themeColor="text1" w:themeTint="F2"/>
          <w:sz w:val="52"/>
          <w:szCs w:val="52"/>
          <w:highlight w:val="none"/>
          <w14:textFill>
            <w14:solidFill>
              <w14:schemeClr w14:val="tx1">
                <w14:lumMod w14:val="95000"/>
                <w14:lumOff w14:val="5000"/>
              </w14:schemeClr>
            </w14:solidFill>
          </w14:textFill>
        </w:rPr>
      </w:pPr>
    </w:p>
    <w:p w14:paraId="41993E23">
      <w:pPr>
        <w:spacing w:line="360" w:lineRule="auto"/>
        <w:jc w:val="center"/>
        <w:rPr>
          <w:rFonts w:asciiTheme="minorEastAsia" w:hAnsiTheme="minorEastAsia" w:eastAsiaTheme="minorEastAsia" w:cstheme="minorEastAsia"/>
          <w:bCs/>
          <w:color w:val="0D0D0D" w:themeColor="text1" w:themeTint="F2"/>
          <w:sz w:val="52"/>
          <w:szCs w:val="52"/>
          <w:highlight w:val="none"/>
          <w14:textFill>
            <w14:solidFill>
              <w14:schemeClr w14:val="tx1">
                <w14:lumMod w14:val="95000"/>
                <w14:lumOff w14:val="5000"/>
              </w14:schemeClr>
            </w14:solidFill>
          </w14:textFill>
        </w:rPr>
      </w:pPr>
    </w:p>
    <w:p w14:paraId="6B86C1B7">
      <w:pPr>
        <w:spacing w:line="700" w:lineRule="exact"/>
        <w:jc w:val="center"/>
        <w:rPr>
          <w:rFonts w:asciiTheme="minorEastAsia" w:hAnsiTheme="minorEastAsia" w:eastAsiaTheme="minorEastAsia" w:cstheme="minorEastAsia"/>
          <w:b/>
          <w:bCs w:val="0"/>
          <w:color w:val="0D0D0D" w:themeColor="text1" w:themeTint="F2"/>
          <w:sz w:val="72"/>
          <w:szCs w:val="7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b/>
          <w:bCs w:val="0"/>
          <w:color w:val="0D0D0D" w:themeColor="text1" w:themeTint="F2"/>
          <w:sz w:val="72"/>
          <w:szCs w:val="72"/>
          <w:highlight w:val="none"/>
          <w14:textFill>
            <w14:solidFill>
              <w14:schemeClr w14:val="tx1">
                <w14:lumMod w14:val="95000"/>
                <w14:lumOff w14:val="5000"/>
              </w14:schemeClr>
            </w14:solidFill>
          </w14:textFill>
        </w:rPr>
        <w:t>招标文件</w:t>
      </w:r>
    </w:p>
    <w:p w14:paraId="0E7A0963">
      <w:pPr>
        <w:spacing w:line="500" w:lineRule="exact"/>
        <w:jc w:val="center"/>
        <w:rPr>
          <w:rFonts w:asciiTheme="minorEastAsia" w:hAnsiTheme="minorEastAsia" w:eastAsiaTheme="minorEastAsia" w:cstheme="minorEastAsia"/>
          <w:color w:val="0D0D0D" w:themeColor="text1" w:themeTint="F2"/>
          <w:sz w:val="28"/>
          <w:szCs w:val="28"/>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bCs/>
          <w:color w:val="0D0D0D" w:themeColor="text1" w:themeTint="F2"/>
          <w:sz w:val="28"/>
          <w:szCs w:val="28"/>
          <w:highlight w:val="none"/>
          <w14:textFill>
            <w14:solidFill>
              <w14:schemeClr w14:val="tx1">
                <w14:lumMod w14:val="95000"/>
                <w14:lumOff w14:val="5000"/>
              </w14:schemeClr>
            </w14:solidFill>
          </w14:textFill>
        </w:rPr>
        <w:t>（资格后审）</w:t>
      </w:r>
    </w:p>
    <w:p w14:paraId="3D6E6D16">
      <w:pPr>
        <w:spacing w:line="360" w:lineRule="auto"/>
        <w:rPr>
          <w:rFonts w:asciiTheme="minorEastAsia" w:hAnsiTheme="minorEastAsia" w:eastAsiaTheme="minorEastAsia" w:cstheme="minorEastAsia"/>
          <w:color w:val="0D0D0D" w:themeColor="text1" w:themeTint="F2"/>
          <w:sz w:val="32"/>
          <w:szCs w:val="32"/>
          <w:highlight w:val="none"/>
          <w14:textFill>
            <w14:solidFill>
              <w14:schemeClr w14:val="tx1">
                <w14:lumMod w14:val="95000"/>
                <w14:lumOff w14:val="5000"/>
              </w14:schemeClr>
            </w14:solidFill>
          </w14:textFill>
        </w:rPr>
      </w:pPr>
    </w:p>
    <w:p w14:paraId="4E0FC173">
      <w:pPr>
        <w:spacing w:line="360" w:lineRule="auto"/>
        <w:rPr>
          <w:rFonts w:asciiTheme="minorEastAsia" w:hAnsiTheme="minorEastAsia" w:eastAsiaTheme="minorEastAsia" w:cstheme="minorEastAsia"/>
          <w:color w:val="0D0D0D" w:themeColor="text1" w:themeTint="F2"/>
          <w:sz w:val="32"/>
          <w:szCs w:val="32"/>
          <w:highlight w:val="none"/>
          <w14:textFill>
            <w14:solidFill>
              <w14:schemeClr w14:val="tx1">
                <w14:lumMod w14:val="95000"/>
                <w14:lumOff w14:val="5000"/>
              </w14:schemeClr>
            </w14:solidFill>
          </w14:textFill>
        </w:rPr>
      </w:pPr>
    </w:p>
    <w:p w14:paraId="0EBFDC45">
      <w:pPr>
        <w:spacing w:line="360" w:lineRule="auto"/>
        <w:rPr>
          <w:rFonts w:asciiTheme="minorEastAsia" w:hAnsiTheme="minorEastAsia" w:eastAsiaTheme="minorEastAsia" w:cstheme="minorEastAsia"/>
          <w:color w:val="0D0D0D" w:themeColor="text1" w:themeTint="F2"/>
          <w:sz w:val="32"/>
          <w:szCs w:val="32"/>
          <w:highlight w:val="none"/>
          <w14:textFill>
            <w14:solidFill>
              <w14:schemeClr w14:val="tx1">
                <w14:lumMod w14:val="95000"/>
                <w14:lumOff w14:val="5000"/>
              </w14:schemeClr>
            </w14:solidFill>
          </w14:textFill>
        </w:rPr>
      </w:pPr>
    </w:p>
    <w:p w14:paraId="22F29F46">
      <w:pPr>
        <w:spacing w:line="360" w:lineRule="auto"/>
        <w:rPr>
          <w:rFonts w:asciiTheme="minorEastAsia" w:hAnsiTheme="minorEastAsia" w:eastAsiaTheme="minorEastAsia" w:cstheme="minorEastAsia"/>
          <w:color w:val="0D0D0D" w:themeColor="text1" w:themeTint="F2"/>
          <w:sz w:val="32"/>
          <w:szCs w:val="32"/>
          <w:highlight w:val="none"/>
          <w14:textFill>
            <w14:solidFill>
              <w14:schemeClr w14:val="tx1">
                <w14:lumMod w14:val="95000"/>
                <w14:lumOff w14:val="5000"/>
              </w14:schemeClr>
            </w14:solidFill>
          </w14:textFill>
        </w:rPr>
      </w:pPr>
    </w:p>
    <w:p w14:paraId="08C5D3F0">
      <w:pPr>
        <w:spacing w:line="360" w:lineRule="auto"/>
        <w:rPr>
          <w:rFonts w:asciiTheme="minorEastAsia" w:hAnsiTheme="minorEastAsia" w:eastAsiaTheme="minorEastAsia" w:cstheme="minorEastAsia"/>
          <w:color w:val="0D0D0D" w:themeColor="text1" w:themeTint="F2"/>
          <w:sz w:val="32"/>
          <w:szCs w:val="32"/>
          <w:highlight w:val="none"/>
          <w14:textFill>
            <w14:solidFill>
              <w14:schemeClr w14:val="tx1">
                <w14:lumMod w14:val="95000"/>
                <w14:lumOff w14:val="5000"/>
              </w14:schemeClr>
            </w14:solidFill>
          </w14:textFill>
        </w:rPr>
      </w:pPr>
    </w:p>
    <w:p w14:paraId="753445B0">
      <w:pPr>
        <w:pStyle w:val="10"/>
        <w:rPr>
          <w:highlight w:val="none"/>
        </w:rPr>
      </w:pPr>
    </w:p>
    <w:p w14:paraId="0C874EC3">
      <w:pPr>
        <w:pStyle w:val="11"/>
        <w:rPr>
          <w:rFonts w:hint="default"/>
          <w:highlight w:val="none"/>
        </w:rPr>
      </w:pPr>
    </w:p>
    <w:p w14:paraId="1931A0B8">
      <w:pPr>
        <w:spacing w:line="560" w:lineRule="exact"/>
        <w:jc w:val="center"/>
        <w:rPr>
          <w:rFonts w:asciiTheme="minorEastAsia" w:hAnsiTheme="minorEastAsia" w:eastAsiaTheme="minorEastAsia" w:cstheme="minorEastAsia"/>
          <w:bCs/>
          <w:color w:val="0D0D0D" w:themeColor="text1" w:themeTint="F2"/>
          <w:sz w:val="28"/>
          <w:szCs w:val="28"/>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bCs/>
          <w:color w:val="0D0D0D" w:themeColor="text1" w:themeTint="F2"/>
          <w:sz w:val="28"/>
          <w:szCs w:val="28"/>
          <w:highlight w:val="none"/>
          <w14:textFill>
            <w14:solidFill>
              <w14:schemeClr w14:val="tx1">
                <w14:lumMod w14:val="95000"/>
                <w14:lumOff w14:val="5000"/>
              </w14:schemeClr>
            </w14:solidFill>
          </w14:textFill>
        </w:rPr>
        <w:t>招标人: 南通市通州区水务有限公司</w:t>
      </w:r>
    </w:p>
    <w:p w14:paraId="38F7046F">
      <w:pPr>
        <w:spacing w:line="560" w:lineRule="exact"/>
        <w:jc w:val="center"/>
        <w:rPr>
          <w:rFonts w:asciiTheme="minorEastAsia" w:hAnsiTheme="minorEastAsia" w:eastAsiaTheme="minorEastAsia" w:cstheme="minorEastAsia"/>
          <w:bCs/>
          <w:color w:val="0D0D0D" w:themeColor="text1" w:themeTint="F2"/>
          <w:sz w:val="28"/>
          <w:szCs w:val="28"/>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bCs/>
          <w:color w:val="0D0D0D" w:themeColor="text1" w:themeTint="F2"/>
          <w:sz w:val="28"/>
          <w:szCs w:val="28"/>
          <w:highlight w:val="none"/>
          <w:lang w:val="en-US" w:eastAsia="zh-CN"/>
          <w14:textFill>
            <w14:solidFill>
              <w14:schemeClr w14:val="tx1">
                <w14:lumMod w14:val="95000"/>
                <w14:lumOff w14:val="5000"/>
              </w14:schemeClr>
            </w14:solidFill>
          </w14:textFill>
        </w:rPr>
        <w:t xml:space="preserve"> </w:t>
      </w:r>
      <w:r>
        <w:rPr>
          <w:rFonts w:hint="eastAsia" w:asciiTheme="minorEastAsia" w:hAnsiTheme="minorEastAsia" w:eastAsiaTheme="minorEastAsia" w:cstheme="minorEastAsia"/>
          <w:bCs/>
          <w:color w:val="0D0D0D" w:themeColor="text1" w:themeTint="F2"/>
          <w:sz w:val="28"/>
          <w:szCs w:val="28"/>
          <w:highlight w:val="none"/>
          <w14:textFill>
            <w14:solidFill>
              <w14:schemeClr w14:val="tx1">
                <w14:lumMod w14:val="95000"/>
                <w14:lumOff w14:val="5000"/>
              </w14:schemeClr>
            </w14:solidFill>
          </w14:textFill>
        </w:rPr>
        <w:t>2025年</w:t>
      </w:r>
      <w:r>
        <w:rPr>
          <w:rFonts w:hint="eastAsia" w:asciiTheme="minorEastAsia" w:hAnsiTheme="minorEastAsia" w:eastAsiaTheme="minorEastAsia" w:cstheme="minorEastAsia"/>
          <w:bCs/>
          <w:color w:val="0D0D0D" w:themeColor="text1" w:themeTint="F2"/>
          <w:sz w:val="28"/>
          <w:szCs w:val="28"/>
          <w:highlight w:val="none"/>
          <w:lang w:val="en-US" w:eastAsia="zh-CN"/>
          <w14:textFill>
            <w14:solidFill>
              <w14:schemeClr w14:val="tx1">
                <w14:lumMod w14:val="95000"/>
                <w14:lumOff w14:val="5000"/>
              </w14:schemeClr>
            </w14:solidFill>
          </w14:textFill>
        </w:rPr>
        <w:t xml:space="preserve"> 6 </w:t>
      </w:r>
      <w:r>
        <w:rPr>
          <w:rFonts w:hint="eastAsia" w:asciiTheme="minorEastAsia" w:hAnsiTheme="minorEastAsia" w:eastAsiaTheme="minorEastAsia" w:cstheme="minorEastAsia"/>
          <w:bCs/>
          <w:color w:val="0D0D0D" w:themeColor="text1" w:themeTint="F2"/>
          <w:sz w:val="28"/>
          <w:szCs w:val="28"/>
          <w:highlight w:val="none"/>
          <w14:textFill>
            <w14:solidFill>
              <w14:schemeClr w14:val="tx1">
                <w14:lumMod w14:val="95000"/>
                <w14:lumOff w14:val="5000"/>
              </w14:schemeClr>
            </w14:solidFill>
          </w14:textFill>
        </w:rPr>
        <w:t>月</w:t>
      </w:r>
    </w:p>
    <w:p w14:paraId="1B379EDE">
      <w:pPr>
        <w:pStyle w:val="11"/>
        <w:rPr>
          <w:rFonts w:hint="eastAsia" w:ascii="宋体" w:hAnsi="宋体" w:eastAsia="宋体" w:cs="宋体"/>
          <w:sz w:val="28"/>
          <w:szCs w:val="28"/>
          <w:highlight w:val="none"/>
        </w:rPr>
      </w:pPr>
    </w:p>
    <w:p w14:paraId="10705D7A">
      <w:pPr>
        <w:pStyle w:val="56"/>
        <w:widowControl/>
        <w:numPr>
          <w:ilvl w:val="0"/>
          <w:numId w:val="0"/>
        </w:numPr>
        <w:spacing w:line="310" w:lineRule="atLeast"/>
        <w:ind w:leftChars="0"/>
        <w:jc w:val="center"/>
        <w:rPr>
          <w:rFonts w:hint="eastAsia" w:ascii="宋体" w:hAnsi="宋体" w:eastAsia="宋体" w:cs="宋体"/>
          <w:b/>
          <w:bCs/>
          <w:color w:val="0D0D0D" w:themeColor="text1" w:themeTint="F2"/>
          <w:sz w:val="44"/>
          <w:szCs w:val="44"/>
          <w:highlight w:val="none"/>
          <w:lang w:val="en-US" w:eastAsia="zh-CN"/>
          <w14:textFill>
            <w14:solidFill>
              <w14:schemeClr w14:val="tx1">
                <w14:lumMod w14:val="95000"/>
                <w14:lumOff w14:val="5000"/>
              </w14:schemeClr>
            </w14:solidFill>
          </w14:textFill>
        </w:rPr>
      </w:pPr>
      <w:bookmarkStart w:id="0" w:name="OLE_LINK1"/>
      <w:bookmarkStart w:id="1" w:name="OLE_LINK2"/>
    </w:p>
    <w:p w14:paraId="743926E3">
      <w:pPr>
        <w:pStyle w:val="56"/>
        <w:widowControl/>
        <w:numPr>
          <w:ilvl w:val="0"/>
          <w:numId w:val="0"/>
        </w:numPr>
        <w:spacing w:line="310" w:lineRule="atLeast"/>
        <w:ind w:leftChars="0"/>
        <w:jc w:val="center"/>
        <w:rPr>
          <w:rFonts w:hint="eastAsia" w:ascii="宋体" w:hAnsi="宋体" w:eastAsia="宋体" w:cs="宋体"/>
          <w:b/>
          <w:bCs/>
          <w:color w:val="0D0D0D" w:themeColor="text1" w:themeTint="F2"/>
          <w:sz w:val="36"/>
          <w:szCs w:val="36"/>
          <w:highlight w:val="none"/>
          <w:lang w:val="en-US" w:eastAsia="zh-CN"/>
          <w14:textFill>
            <w14:solidFill>
              <w14:schemeClr w14:val="tx1">
                <w14:lumMod w14:val="95000"/>
                <w14:lumOff w14:val="5000"/>
              </w14:schemeClr>
            </w14:solidFill>
          </w14:textFill>
        </w:rPr>
      </w:pPr>
    </w:p>
    <w:p w14:paraId="4D2FCA63">
      <w:pPr>
        <w:pStyle w:val="56"/>
        <w:widowControl/>
        <w:numPr>
          <w:ilvl w:val="0"/>
          <w:numId w:val="0"/>
        </w:numPr>
        <w:spacing w:line="310" w:lineRule="atLeast"/>
        <w:ind w:leftChars="0"/>
        <w:jc w:val="center"/>
        <w:rPr>
          <w:rFonts w:hint="eastAsia" w:ascii="宋体" w:hAnsi="宋体" w:eastAsia="宋体" w:cs="宋体"/>
          <w:b/>
          <w:bCs/>
          <w:color w:val="0D0D0D" w:themeColor="text1" w:themeTint="F2"/>
          <w:sz w:val="36"/>
          <w:szCs w:val="36"/>
          <w:highlight w:val="none"/>
          <w:lang w:val="en-US" w:eastAsia="zh-CN"/>
          <w14:textFill>
            <w14:solidFill>
              <w14:schemeClr w14:val="tx1">
                <w14:lumMod w14:val="95000"/>
                <w14:lumOff w14:val="5000"/>
              </w14:schemeClr>
            </w14:solidFill>
          </w14:textFill>
        </w:rPr>
        <w:sectPr>
          <w:footerReference r:id="rId3" w:type="default"/>
          <w:pgSz w:w="11906" w:h="16838"/>
          <w:pgMar w:top="1134" w:right="1417" w:bottom="1134" w:left="1417" w:header="851" w:footer="992" w:gutter="0"/>
          <w:pgNumType w:fmt="decimal" w:start="0"/>
          <w:cols w:space="720" w:num="1"/>
          <w:docGrid w:type="lines" w:linePitch="312" w:charSpace="0"/>
        </w:sectPr>
      </w:pPr>
    </w:p>
    <w:p w14:paraId="28D7866E">
      <w:pPr>
        <w:pStyle w:val="56"/>
        <w:widowControl/>
        <w:numPr>
          <w:ilvl w:val="0"/>
          <w:numId w:val="0"/>
        </w:numPr>
        <w:spacing w:line="310" w:lineRule="atLeast"/>
        <w:ind w:leftChars="0"/>
        <w:jc w:val="center"/>
        <w:rPr>
          <w:rFonts w:hint="eastAsia" w:ascii="宋体" w:hAnsi="宋体" w:eastAsia="宋体" w:cs="宋体"/>
          <w:b/>
          <w:bCs/>
          <w:color w:val="0D0D0D" w:themeColor="text1" w:themeTint="F2"/>
          <w:sz w:val="36"/>
          <w:szCs w:val="36"/>
          <w:highlight w:val="none"/>
          <w14:textFill>
            <w14:solidFill>
              <w14:schemeClr w14:val="tx1">
                <w14:lumMod w14:val="95000"/>
                <w14:lumOff w14:val="5000"/>
              </w14:schemeClr>
            </w14:solidFill>
          </w14:textFill>
        </w:rPr>
      </w:pPr>
      <w:r>
        <w:rPr>
          <w:rFonts w:hint="eastAsia" w:ascii="宋体" w:hAnsi="宋体" w:eastAsia="宋体" w:cs="宋体"/>
          <w:b/>
          <w:bCs/>
          <w:color w:val="0D0D0D" w:themeColor="text1" w:themeTint="F2"/>
          <w:sz w:val="36"/>
          <w:szCs w:val="36"/>
          <w:highlight w:val="none"/>
          <w:lang w:val="en-US" w:eastAsia="zh-CN"/>
          <w14:textFill>
            <w14:solidFill>
              <w14:schemeClr w14:val="tx1">
                <w14:lumMod w14:val="95000"/>
                <w14:lumOff w14:val="5000"/>
              </w14:schemeClr>
            </w14:solidFill>
          </w14:textFill>
        </w:rPr>
        <w:t xml:space="preserve">第一章  </w:t>
      </w:r>
      <w:r>
        <w:rPr>
          <w:rFonts w:hint="eastAsia" w:ascii="宋体" w:hAnsi="宋体" w:eastAsia="宋体" w:cs="宋体"/>
          <w:b/>
          <w:bCs/>
          <w:color w:val="0D0D0D" w:themeColor="text1" w:themeTint="F2"/>
          <w:sz w:val="36"/>
          <w:szCs w:val="36"/>
          <w:highlight w:val="none"/>
          <w14:textFill>
            <w14:solidFill>
              <w14:schemeClr w14:val="tx1">
                <w14:lumMod w14:val="95000"/>
                <w14:lumOff w14:val="5000"/>
              </w14:schemeClr>
            </w14:solidFill>
          </w14:textFill>
        </w:rPr>
        <w:t>招标公告</w:t>
      </w:r>
    </w:p>
    <w:p w14:paraId="3068FF77">
      <w:pPr>
        <w:keepNext w:val="0"/>
        <w:keepLines w:val="0"/>
        <w:pageBreakBefore w:val="0"/>
        <w:widowControl w:val="0"/>
        <w:kinsoku/>
        <w:wordWrap/>
        <w:overflowPunct/>
        <w:topLinePunct w:val="0"/>
        <w:autoSpaceDE/>
        <w:autoSpaceDN/>
        <w:bidi w:val="0"/>
        <w:adjustRightInd/>
        <w:snapToGrid/>
        <w:spacing w:before="313" w:beforeLines="100" w:line="385" w:lineRule="exact"/>
        <w:ind w:firstLine="480" w:firstLineChars="200"/>
        <w:jc w:val="left"/>
        <w:textAlignment w:val="auto"/>
        <w:rPr>
          <w:rFonts w:hint="eastAsia" w:ascii="宋体" w:hAnsi="宋体" w:eastAsia="宋体" w:cs="宋体"/>
          <w:bCs/>
          <w:color w:val="0D0D0D" w:themeColor="text1" w:themeTint="F2"/>
          <w:kern w:val="0"/>
          <w:sz w:val="24"/>
          <w:szCs w:val="24"/>
          <w:highlight w:val="none"/>
          <w:u w:val="single"/>
          <w14:textFill>
            <w14:solidFill>
              <w14:schemeClr w14:val="tx1">
                <w14:lumMod w14:val="95000"/>
                <w14:lumOff w14:val="5000"/>
              </w14:schemeClr>
            </w14:solidFill>
          </w14:textFill>
        </w:rPr>
      </w:pPr>
      <w:bookmarkStart w:id="2" w:name="OLE_LINK6"/>
      <w:bookmarkStart w:id="3" w:name="OLE_LINK5"/>
      <w:bookmarkStart w:id="4" w:name="OLE_LINK7"/>
      <w:bookmarkStart w:id="5" w:name="OLE_LINK8"/>
      <w:bookmarkStart w:id="6" w:name="OLE_LINK9"/>
      <w:r>
        <w:rPr>
          <w:rFonts w:hint="eastAsia" w:ascii="宋体" w:hAnsi="宋体" w:eastAsia="宋体" w:cs="宋体"/>
          <w:bCs/>
          <w:color w:val="0D0D0D" w:themeColor="text1" w:themeTint="F2"/>
          <w:kern w:val="0"/>
          <w:sz w:val="24"/>
          <w:szCs w:val="24"/>
          <w:highlight w:val="none"/>
          <w14:textFill>
            <w14:solidFill>
              <w14:schemeClr w14:val="tx1">
                <w14:lumMod w14:val="95000"/>
                <w14:lumOff w14:val="5000"/>
              </w14:schemeClr>
            </w14:solidFill>
          </w14:textFill>
        </w:rPr>
        <w:t>南通市通州区水务有限公司</w:t>
      </w:r>
      <w:r>
        <w:rPr>
          <w:rFonts w:hint="eastAsia" w:ascii="宋体" w:hAnsi="宋体" w:eastAsia="宋体" w:cs="宋体"/>
          <w:color w:val="0D0D0D" w:themeColor="text1" w:themeTint="F2"/>
          <w:sz w:val="24"/>
          <w:szCs w:val="24"/>
          <w:highlight w:val="none"/>
          <w:u w:val="single"/>
          <w:lang w:val="en-US" w:eastAsia="zh-CN"/>
          <w14:textFill>
            <w14:solidFill>
              <w14:schemeClr w14:val="tx1">
                <w14:lumMod w14:val="95000"/>
                <w14:lumOff w14:val="5000"/>
              </w14:schemeClr>
            </w14:solidFill>
          </w14:textFill>
        </w:rPr>
        <w:t>0.4KV有源滤波器成套设备</w:t>
      </w:r>
      <w:r>
        <w:rPr>
          <w:rFonts w:hint="eastAsia" w:ascii="宋体" w:hAnsi="宋体" w:eastAsia="宋体" w:cs="宋体"/>
          <w:bCs/>
          <w:color w:val="0D0D0D" w:themeColor="text1" w:themeTint="F2"/>
          <w:kern w:val="0"/>
          <w:sz w:val="24"/>
          <w:szCs w:val="24"/>
          <w:highlight w:val="none"/>
          <w:u w:val="single"/>
          <w14:textFill>
            <w14:solidFill>
              <w14:schemeClr w14:val="tx1">
                <w14:lumMod w14:val="95000"/>
                <w14:lumOff w14:val="5000"/>
              </w14:schemeClr>
            </w14:solidFill>
          </w14:textFill>
        </w:rPr>
        <w:t>采购及安装项目招标公告（资格后审）</w:t>
      </w:r>
    </w:p>
    <w:p w14:paraId="0202CF36">
      <w:pPr>
        <w:keepNext w:val="0"/>
        <w:keepLines w:val="0"/>
        <w:pageBreakBefore w:val="0"/>
        <w:widowControl/>
        <w:kinsoku/>
        <w:wordWrap/>
        <w:overflowPunct/>
        <w:topLinePunct w:val="0"/>
        <w:autoSpaceDE/>
        <w:autoSpaceDN/>
        <w:bidi w:val="0"/>
        <w:adjustRightInd/>
        <w:snapToGrid/>
        <w:spacing w:before="157" w:beforeLines="50" w:line="385" w:lineRule="exact"/>
        <w:ind w:firstLine="482" w:firstLineChars="200"/>
        <w:jc w:val="left"/>
        <w:textAlignment w:val="auto"/>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0"/>
          <w:sz w:val="24"/>
          <w:szCs w:val="24"/>
          <w:highlight w:val="none"/>
          <w14:textFill>
            <w14:solidFill>
              <w14:schemeClr w14:val="tx1">
                <w14:lumMod w14:val="95000"/>
                <w14:lumOff w14:val="5000"/>
              </w14:schemeClr>
            </w14:solidFill>
          </w14:textFill>
        </w:rPr>
        <w:t>一、</w:t>
      </w:r>
      <w:r>
        <w:rPr>
          <w:rFonts w:hint="eastAsia" w:ascii="宋体" w:hAnsi="宋体" w:eastAsia="宋体" w:cs="宋体"/>
          <w:b/>
          <w:bCs/>
          <w:color w:val="0D0D0D" w:themeColor="text1" w:themeTint="F2"/>
          <w:sz w:val="24"/>
          <w:szCs w:val="24"/>
          <w:highlight w:val="none"/>
          <w:u w:val="single"/>
          <w14:textFill>
            <w14:solidFill>
              <w14:schemeClr w14:val="tx1">
                <w14:lumMod w14:val="95000"/>
                <w14:lumOff w14:val="5000"/>
              </w14:schemeClr>
            </w14:solidFill>
          </w14:textFill>
        </w:rPr>
        <w:t>南通市通州区水务有限公司</w:t>
      </w:r>
      <w:r>
        <w:rPr>
          <w:rFonts w:hint="eastAsia" w:ascii="宋体" w:hAnsi="宋体" w:eastAsia="宋体" w:cs="宋体"/>
          <w:b/>
          <w:bCs/>
          <w:color w:val="0D0D0D" w:themeColor="text1" w:themeTint="F2"/>
          <w:sz w:val="24"/>
          <w:szCs w:val="24"/>
          <w:highlight w:val="none"/>
          <w:u w:val="single"/>
          <w:lang w:val="en-US" w:eastAsia="zh-CN"/>
          <w14:textFill>
            <w14:solidFill>
              <w14:schemeClr w14:val="tx1">
                <w14:lumMod w14:val="95000"/>
                <w14:lumOff w14:val="5000"/>
              </w14:schemeClr>
            </w14:solidFill>
          </w14:textFill>
        </w:rPr>
        <w:t>0.4KV有源滤波器成套设备</w:t>
      </w:r>
      <w:r>
        <w:rPr>
          <w:rFonts w:hint="eastAsia" w:ascii="宋体" w:hAnsi="宋体" w:eastAsia="宋体" w:cs="宋体"/>
          <w:b/>
          <w:bCs/>
          <w:color w:val="0D0D0D" w:themeColor="text1" w:themeTint="F2"/>
          <w:sz w:val="24"/>
          <w:szCs w:val="24"/>
          <w:highlight w:val="none"/>
          <w:u w:val="single"/>
          <w14:textFill>
            <w14:solidFill>
              <w14:schemeClr w14:val="tx1">
                <w14:lumMod w14:val="95000"/>
                <w14:lumOff w14:val="5000"/>
              </w14:schemeClr>
            </w14:solidFill>
          </w14:textFill>
        </w:rPr>
        <w:t>采购及安装项目</w:t>
      </w:r>
      <w:r>
        <w:rPr>
          <w:rFonts w:hint="eastAsia" w:ascii="宋体" w:hAnsi="宋体" w:eastAsia="宋体" w:cs="宋体"/>
          <w:b/>
          <w:bCs/>
          <w:color w:val="0D0D0D" w:themeColor="text1" w:themeTint="F2"/>
          <w:kern w:val="0"/>
          <w:sz w:val="24"/>
          <w:szCs w:val="24"/>
          <w:highlight w:val="none"/>
          <w14:textFill>
            <w14:solidFill>
              <w14:schemeClr w14:val="tx1">
                <w14:lumMod w14:val="95000"/>
                <w14:lumOff w14:val="5000"/>
              </w14:schemeClr>
            </w14:solidFill>
          </w14:textFill>
        </w:rPr>
        <w:t>已经批准实施。项目所需资金来源是</w:t>
      </w:r>
      <w:r>
        <w:rPr>
          <w:rFonts w:hint="eastAsia" w:ascii="宋体" w:hAnsi="宋体" w:eastAsia="宋体" w:cs="宋体"/>
          <w:b/>
          <w:bCs/>
          <w:color w:val="0D0D0D" w:themeColor="text1" w:themeTint="F2"/>
          <w:kern w:val="0"/>
          <w:sz w:val="24"/>
          <w:szCs w:val="24"/>
          <w:highlight w:val="none"/>
          <w:u w:val="single"/>
          <w14:textFill>
            <w14:solidFill>
              <w14:schemeClr w14:val="tx1">
                <w14:lumMod w14:val="95000"/>
                <w14:lumOff w14:val="5000"/>
              </w14:schemeClr>
            </w14:solidFill>
          </w14:textFill>
        </w:rPr>
        <w:t>公司自筹</w:t>
      </w:r>
      <w:r>
        <w:rPr>
          <w:rFonts w:hint="eastAsia" w:ascii="宋体" w:hAnsi="宋体" w:eastAsia="宋体" w:cs="宋体"/>
          <w:b/>
          <w:bCs/>
          <w:color w:val="0D0D0D" w:themeColor="text1" w:themeTint="F2"/>
          <w:kern w:val="0"/>
          <w:sz w:val="24"/>
          <w:szCs w:val="24"/>
          <w:highlight w:val="none"/>
          <w14:textFill>
            <w14:solidFill>
              <w14:schemeClr w14:val="tx1">
                <w14:lumMod w14:val="95000"/>
                <w14:lumOff w14:val="5000"/>
              </w14:schemeClr>
            </w14:solidFill>
          </w14:textFill>
        </w:rPr>
        <w:t>，已落实，现决定对该项目进行公开招标，选定中标人。</w:t>
      </w:r>
    </w:p>
    <w:p w14:paraId="49EB2F0E">
      <w:pPr>
        <w:keepNext w:val="0"/>
        <w:keepLines w:val="0"/>
        <w:pageBreakBefore w:val="0"/>
        <w:widowControl/>
        <w:kinsoku/>
        <w:wordWrap/>
        <w:overflowPunct/>
        <w:topLinePunct w:val="0"/>
        <w:autoSpaceDE/>
        <w:autoSpaceDN/>
        <w:bidi w:val="0"/>
        <w:adjustRightInd/>
        <w:snapToGrid/>
        <w:spacing w:before="157" w:beforeLines="50" w:line="385" w:lineRule="exact"/>
        <w:ind w:firstLine="482" w:firstLineChars="200"/>
        <w:jc w:val="left"/>
        <w:textAlignment w:val="auto"/>
        <w:rPr>
          <w:rFonts w:hint="eastAsia" w:ascii="宋体" w:hAnsi="宋体" w:eastAsia="宋体" w:cs="宋体"/>
          <w:b/>
          <w:bCs/>
          <w:color w:val="0D0D0D" w:themeColor="text1" w:themeTint="F2"/>
          <w:kern w:val="0"/>
          <w:sz w:val="24"/>
          <w:szCs w:val="24"/>
          <w:highlight w:val="none"/>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0"/>
          <w:sz w:val="24"/>
          <w:szCs w:val="24"/>
          <w:highlight w:val="none"/>
          <w14:textFill>
            <w14:solidFill>
              <w14:schemeClr w14:val="tx1">
                <w14:lumMod w14:val="95000"/>
                <w14:lumOff w14:val="5000"/>
              </w14:schemeClr>
            </w14:solidFill>
          </w14:textFill>
        </w:rPr>
        <w:t>二、项目概况：</w:t>
      </w:r>
    </w:p>
    <w:p w14:paraId="2A5FBCF9">
      <w:pPr>
        <w:keepNext w:val="0"/>
        <w:keepLines w:val="0"/>
        <w:pageBreakBefore w:val="0"/>
        <w:wordWrap/>
        <w:overflowPunct/>
        <w:topLinePunct w:val="0"/>
        <w:bidi w:val="0"/>
        <w:spacing w:line="385" w:lineRule="exact"/>
        <w:ind w:firstLine="480" w:firstLineChars="200"/>
        <w:rPr>
          <w:rFonts w:hint="eastAsia" w:ascii="宋体" w:hAnsi="宋体" w:eastAsia="宋体" w:cs="宋体"/>
          <w:color w:val="000000"/>
          <w:kern w:val="0"/>
          <w:sz w:val="24"/>
          <w:szCs w:val="24"/>
          <w:highlight w:val="none"/>
          <w:lang w:val="en-US" w:eastAsia="zh-CN"/>
        </w:rPr>
      </w:pPr>
      <w:r>
        <w:rPr>
          <w:rFonts w:hint="eastAsia" w:ascii="宋体" w:hAnsi="宋体" w:eastAsia="宋体" w:cs="宋体"/>
          <w:color w:val="0D0D0D" w:themeColor="text1" w:themeTint="F2"/>
          <w:kern w:val="0"/>
          <w:sz w:val="24"/>
          <w:szCs w:val="24"/>
          <w:highlight w:val="none"/>
          <w14:textFill>
            <w14:solidFill>
              <w14:schemeClr w14:val="tx1">
                <w14:lumMod w14:val="95000"/>
                <w14:lumOff w14:val="5000"/>
              </w14:schemeClr>
            </w14:solidFill>
          </w14:textFill>
        </w:rPr>
        <w:t>1</w:t>
      </w:r>
      <w:r>
        <w:rPr>
          <w:rFonts w:hint="eastAsia" w:ascii="宋体" w:hAnsi="宋体" w:eastAsia="宋体" w:cs="宋体"/>
          <w:color w:val="0D0D0D" w:themeColor="text1" w:themeTint="F2"/>
          <w:kern w:val="0"/>
          <w:sz w:val="24"/>
          <w:szCs w:val="24"/>
          <w:highlight w:val="none"/>
          <w:lang w:val="en-US" w:eastAsia="zh-CN"/>
          <w14:textFill>
            <w14:solidFill>
              <w14:schemeClr w14:val="tx1">
                <w14:lumMod w14:val="95000"/>
                <w14:lumOff w14:val="5000"/>
              </w14:schemeClr>
            </w14:solidFill>
          </w14:textFill>
        </w:rPr>
        <w:t>.</w:t>
      </w:r>
      <w:r>
        <w:rPr>
          <w:rFonts w:hint="eastAsia" w:ascii="宋体" w:hAnsi="宋体" w:eastAsia="宋体" w:cs="宋体"/>
          <w:color w:val="0D0D0D" w:themeColor="text1" w:themeTint="F2"/>
          <w:kern w:val="0"/>
          <w:sz w:val="24"/>
          <w:szCs w:val="24"/>
          <w:highlight w:val="none"/>
          <w14:textFill>
            <w14:solidFill>
              <w14:schemeClr w14:val="tx1">
                <w14:lumMod w14:val="95000"/>
                <w14:lumOff w14:val="5000"/>
              </w14:schemeClr>
            </w14:solidFill>
          </w14:textFill>
        </w:rPr>
        <w:t>招标范围：</w:t>
      </w:r>
      <w:r>
        <w:rPr>
          <w:rFonts w:hint="eastAsia" w:ascii="宋体" w:hAnsi="宋体" w:eastAsia="宋体" w:cs="宋体"/>
          <w:color w:val="0D0D0D" w:themeColor="text1" w:themeTint="F2"/>
          <w:kern w:val="0"/>
          <w:sz w:val="24"/>
          <w:szCs w:val="24"/>
          <w:highlight w:val="none"/>
          <w:lang w:val="en-US" w:eastAsia="zh-CN"/>
          <w14:textFill>
            <w14:solidFill>
              <w14:schemeClr w14:val="tx1">
                <w14:lumMod w14:val="95000"/>
                <w14:lumOff w14:val="5000"/>
              </w14:schemeClr>
            </w14:solidFill>
          </w14:textFill>
        </w:rPr>
        <w:t>依据</w:t>
      </w:r>
      <w:r>
        <w:rPr>
          <w:rFonts w:hint="eastAsia" w:ascii="宋体" w:hAnsi="宋体" w:eastAsia="宋体" w:cs="宋体"/>
          <w:sz w:val="24"/>
          <w:szCs w:val="24"/>
          <w:highlight w:val="none"/>
          <w:lang w:val="en-US" w:eastAsia="zh-CN"/>
        </w:rPr>
        <w:t>金沙泵站变压器增容前电能质量评估报告及供电公司协助意见表和增容后的电能质量实测报告、治理方案及供电公司谐波治理意见表，水务公司本部金沙泵站0.4KV供配电系统需进行谐波治理，现需采购补偿容量为300A的有源滤波器成套设备一套。</w:t>
      </w:r>
    </w:p>
    <w:p w14:paraId="2E114DB9">
      <w:pPr>
        <w:keepNext w:val="0"/>
        <w:keepLines w:val="0"/>
        <w:pageBreakBefore w:val="0"/>
        <w:widowControl/>
        <w:wordWrap/>
        <w:overflowPunct/>
        <w:topLinePunct w:val="0"/>
        <w:bidi w:val="0"/>
        <w:spacing w:line="385" w:lineRule="exact"/>
        <w:ind w:firstLine="480" w:firstLineChars="200"/>
        <w:jc w:val="left"/>
        <w:rPr>
          <w:rFonts w:hint="eastAsia" w:ascii="宋体" w:hAnsi="宋体" w:eastAsia="宋体" w:cs="宋体"/>
          <w:color w:val="0D0D0D" w:themeColor="text1" w:themeTint="F2"/>
          <w:kern w:val="0"/>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0"/>
          <w:sz w:val="24"/>
          <w:szCs w:val="24"/>
          <w:highlight w:val="none"/>
          <w14:textFill>
            <w14:solidFill>
              <w14:schemeClr w14:val="tx1">
                <w14:lumMod w14:val="95000"/>
                <w14:lumOff w14:val="5000"/>
              </w14:schemeClr>
            </w14:solidFill>
          </w14:textFill>
        </w:rPr>
        <w:t>2</w:t>
      </w:r>
      <w:r>
        <w:rPr>
          <w:rFonts w:hint="eastAsia" w:ascii="宋体" w:hAnsi="宋体" w:eastAsia="宋体" w:cs="宋体"/>
          <w:color w:val="0D0D0D" w:themeColor="text1" w:themeTint="F2"/>
          <w:kern w:val="0"/>
          <w:sz w:val="24"/>
          <w:szCs w:val="24"/>
          <w:highlight w:val="none"/>
          <w:lang w:val="en-US" w:eastAsia="zh-CN"/>
          <w14:textFill>
            <w14:solidFill>
              <w14:schemeClr w14:val="tx1">
                <w14:lumMod w14:val="95000"/>
                <w14:lumOff w14:val="5000"/>
              </w14:schemeClr>
            </w14:solidFill>
          </w14:textFill>
        </w:rPr>
        <w:t>.</w:t>
      </w:r>
      <w:r>
        <w:rPr>
          <w:rFonts w:hint="eastAsia" w:ascii="宋体" w:hAnsi="宋体" w:eastAsia="宋体" w:cs="宋体"/>
          <w:color w:val="0D0D0D" w:themeColor="text1" w:themeTint="F2"/>
          <w:kern w:val="0"/>
          <w:sz w:val="24"/>
          <w:szCs w:val="24"/>
          <w:highlight w:val="none"/>
          <w14:textFill>
            <w14:solidFill>
              <w14:schemeClr w14:val="tx1">
                <w14:lumMod w14:val="95000"/>
                <w14:lumOff w14:val="5000"/>
              </w14:schemeClr>
            </w14:solidFill>
          </w14:textFill>
        </w:rPr>
        <w:t>项目地点：南通市通州区。</w:t>
      </w:r>
    </w:p>
    <w:p w14:paraId="50B0642B">
      <w:pPr>
        <w:keepNext w:val="0"/>
        <w:keepLines w:val="0"/>
        <w:pageBreakBefore w:val="0"/>
        <w:widowControl/>
        <w:wordWrap/>
        <w:overflowPunct/>
        <w:topLinePunct w:val="0"/>
        <w:bidi w:val="0"/>
        <w:spacing w:line="385" w:lineRule="exact"/>
        <w:ind w:firstLine="480" w:firstLineChars="200"/>
        <w:jc w:val="left"/>
        <w:rPr>
          <w:rFonts w:hint="eastAsia" w:ascii="宋体" w:hAnsi="宋体" w:eastAsia="宋体" w:cs="宋体"/>
          <w:color w:val="0D0D0D" w:themeColor="text1" w:themeTint="F2"/>
          <w:kern w:val="0"/>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0"/>
          <w:sz w:val="24"/>
          <w:szCs w:val="24"/>
          <w:highlight w:val="none"/>
          <w14:textFill>
            <w14:solidFill>
              <w14:schemeClr w14:val="tx1">
                <w14:lumMod w14:val="95000"/>
                <w14:lumOff w14:val="5000"/>
              </w14:schemeClr>
            </w14:solidFill>
          </w14:textFill>
        </w:rPr>
        <w:t>3</w:t>
      </w:r>
      <w:r>
        <w:rPr>
          <w:rFonts w:hint="eastAsia" w:ascii="宋体" w:hAnsi="宋体" w:eastAsia="宋体" w:cs="宋体"/>
          <w:color w:val="0D0D0D" w:themeColor="text1" w:themeTint="F2"/>
          <w:kern w:val="0"/>
          <w:sz w:val="24"/>
          <w:szCs w:val="24"/>
          <w:highlight w:val="none"/>
          <w:lang w:val="en-US" w:eastAsia="zh-CN"/>
          <w14:textFill>
            <w14:solidFill>
              <w14:schemeClr w14:val="tx1">
                <w14:lumMod w14:val="95000"/>
                <w14:lumOff w14:val="5000"/>
              </w14:schemeClr>
            </w14:solidFill>
          </w14:textFill>
        </w:rPr>
        <w:t>.</w:t>
      </w:r>
      <w:r>
        <w:rPr>
          <w:rFonts w:hint="eastAsia" w:ascii="宋体" w:hAnsi="宋体" w:eastAsia="宋体" w:cs="宋体"/>
          <w:color w:val="0D0D0D" w:themeColor="text1" w:themeTint="F2"/>
          <w:kern w:val="0"/>
          <w:sz w:val="24"/>
          <w:szCs w:val="24"/>
          <w:highlight w:val="none"/>
          <w14:textFill>
            <w14:solidFill>
              <w14:schemeClr w14:val="tx1">
                <w14:lumMod w14:val="95000"/>
                <w14:lumOff w14:val="5000"/>
              </w14:schemeClr>
            </w14:solidFill>
          </w14:textFill>
        </w:rPr>
        <w:t>质量要求：满足招标文件要求。</w:t>
      </w:r>
    </w:p>
    <w:p w14:paraId="146881B0">
      <w:pPr>
        <w:keepNext w:val="0"/>
        <w:keepLines w:val="0"/>
        <w:pageBreakBefore w:val="0"/>
        <w:wordWrap/>
        <w:overflowPunct/>
        <w:topLinePunct w:val="0"/>
        <w:bidi w:val="0"/>
        <w:spacing w:line="385" w:lineRule="exact"/>
        <w:ind w:firstLine="480" w:firstLineChars="200"/>
        <w:rPr>
          <w:rFonts w:hint="eastAsia" w:ascii="宋体" w:hAnsi="宋体" w:eastAsia="宋体" w:cs="宋体"/>
          <w:color w:val="0D0D0D" w:themeColor="text1" w:themeTint="F2"/>
          <w:kern w:val="0"/>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0"/>
          <w:sz w:val="24"/>
          <w:szCs w:val="24"/>
          <w:highlight w:val="none"/>
          <w14:textFill>
            <w14:solidFill>
              <w14:schemeClr w14:val="tx1">
                <w14:lumMod w14:val="95000"/>
                <w14:lumOff w14:val="5000"/>
              </w14:schemeClr>
            </w14:solidFill>
          </w14:textFill>
        </w:rPr>
        <w:t>4</w:t>
      </w:r>
      <w:r>
        <w:rPr>
          <w:rFonts w:hint="eastAsia" w:ascii="宋体" w:hAnsi="宋体" w:eastAsia="宋体" w:cs="宋体"/>
          <w:color w:val="0D0D0D" w:themeColor="text1" w:themeTint="F2"/>
          <w:kern w:val="0"/>
          <w:sz w:val="24"/>
          <w:szCs w:val="24"/>
          <w:highlight w:val="none"/>
          <w:lang w:val="en-US" w:eastAsia="zh-CN"/>
          <w14:textFill>
            <w14:solidFill>
              <w14:schemeClr w14:val="tx1">
                <w14:lumMod w14:val="95000"/>
                <w14:lumOff w14:val="5000"/>
              </w14:schemeClr>
            </w14:solidFill>
          </w14:textFill>
        </w:rPr>
        <w:t>.</w:t>
      </w:r>
      <w:r>
        <w:rPr>
          <w:rFonts w:hint="eastAsia" w:ascii="宋体" w:hAnsi="宋体" w:eastAsia="宋体" w:cs="宋体"/>
          <w:color w:val="0D0D0D" w:themeColor="text1" w:themeTint="F2"/>
          <w:kern w:val="0"/>
          <w:sz w:val="24"/>
          <w:szCs w:val="24"/>
          <w:highlight w:val="none"/>
          <w14:textFill>
            <w14:solidFill>
              <w14:schemeClr w14:val="tx1">
                <w14:lumMod w14:val="95000"/>
                <w14:lumOff w14:val="5000"/>
              </w14:schemeClr>
            </w14:solidFill>
          </w14:textFill>
        </w:rPr>
        <w:t>工期要求：合同签订之日起30个日历天内将货物送至招标人指定地点；货物交付后30个</w:t>
      </w:r>
      <w:r>
        <w:rPr>
          <w:rFonts w:hint="eastAsia" w:ascii="宋体" w:hAnsi="宋体" w:cs="宋体"/>
          <w:color w:val="0D0D0D" w:themeColor="text1" w:themeTint="F2"/>
          <w:kern w:val="0"/>
          <w:sz w:val="24"/>
          <w:szCs w:val="24"/>
          <w:highlight w:val="none"/>
          <w:lang w:val="en-US" w:eastAsia="zh-CN"/>
          <w14:textFill>
            <w14:solidFill>
              <w14:schemeClr w14:val="tx1">
                <w14:lumMod w14:val="95000"/>
                <w14:lumOff w14:val="5000"/>
              </w14:schemeClr>
            </w14:solidFill>
          </w14:textFill>
        </w:rPr>
        <w:t>日历天</w:t>
      </w:r>
      <w:r>
        <w:rPr>
          <w:rFonts w:hint="eastAsia" w:ascii="宋体" w:hAnsi="宋体" w:eastAsia="宋体" w:cs="宋体"/>
          <w:color w:val="0D0D0D" w:themeColor="text1" w:themeTint="F2"/>
          <w:kern w:val="0"/>
          <w:sz w:val="24"/>
          <w:szCs w:val="24"/>
          <w:highlight w:val="none"/>
          <w14:textFill>
            <w14:solidFill>
              <w14:schemeClr w14:val="tx1">
                <w14:lumMod w14:val="95000"/>
                <w14:lumOff w14:val="5000"/>
              </w14:schemeClr>
            </w14:solidFill>
          </w14:textFill>
        </w:rPr>
        <w:t xml:space="preserve">内安装调试完毕。 </w:t>
      </w:r>
    </w:p>
    <w:p w14:paraId="6E1C4827">
      <w:pPr>
        <w:keepNext w:val="0"/>
        <w:keepLines w:val="0"/>
        <w:pageBreakBefore w:val="0"/>
        <w:widowControl/>
        <w:wordWrap/>
        <w:overflowPunct/>
        <w:topLinePunct w:val="0"/>
        <w:bidi w:val="0"/>
        <w:spacing w:line="385" w:lineRule="exact"/>
        <w:ind w:firstLine="480" w:firstLineChars="200"/>
        <w:jc w:val="left"/>
        <w:rPr>
          <w:rFonts w:hint="eastAsia" w:ascii="宋体" w:hAnsi="宋体" w:eastAsia="宋体" w:cs="宋体"/>
          <w:color w:val="0D0D0D" w:themeColor="text1" w:themeTint="F2"/>
          <w:kern w:val="0"/>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0"/>
          <w:sz w:val="24"/>
          <w:szCs w:val="24"/>
          <w:highlight w:val="none"/>
          <w14:textFill>
            <w14:solidFill>
              <w14:schemeClr w14:val="tx1">
                <w14:lumMod w14:val="95000"/>
                <w14:lumOff w14:val="5000"/>
              </w14:schemeClr>
            </w14:solidFill>
          </w14:textFill>
        </w:rPr>
        <w:t>5</w:t>
      </w:r>
      <w:r>
        <w:rPr>
          <w:rFonts w:hint="eastAsia" w:ascii="宋体" w:hAnsi="宋体" w:eastAsia="宋体" w:cs="宋体"/>
          <w:color w:val="0D0D0D" w:themeColor="text1" w:themeTint="F2"/>
          <w:kern w:val="0"/>
          <w:sz w:val="24"/>
          <w:szCs w:val="24"/>
          <w:highlight w:val="none"/>
          <w:lang w:val="en-US" w:eastAsia="zh-CN"/>
          <w14:textFill>
            <w14:solidFill>
              <w14:schemeClr w14:val="tx1">
                <w14:lumMod w14:val="95000"/>
                <w14:lumOff w14:val="5000"/>
              </w14:schemeClr>
            </w14:solidFill>
          </w14:textFill>
        </w:rPr>
        <w:t>.</w:t>
      </w:r>
      <w:r>
        <w:rPr>
          <w:rFonts w:hint="eastAsia" w:ascii="宋体" w:hAnsi="宋体" w:eastAsia="宋体" w:cs="宋体"/>
          <w:color w:val="0D0D0D" w:themeColor="text1" w:themeTint="F2"/>
          <w:kern w:val="0"/>
          <w:sz w:val="24"/>
          <w:szCs w:val="24"/>
          <w:highlight w:val="none"/>
          <w14:textFill>
            <w14:solidFill>
              <w14:schemeClr w14:val="tx1">
                <w14:lumMod w14:val="95000"/>
                <w14:lumOff w14:val="5000"/>
              </w14:schemeClr>
            </w14:solidFill>
          </w14:textFill>
        </w:rPr>
        <w:t>最高限价：人民币</w:t>
      </w:r>
      <w:r>
        <w:rPr>
          <w:rFonts w:hint="eastAsia" w:ascii="宋体" w:hAnsi="宋体" w:eastAsia="宋体" w:cs="宋体"/>
          <w:color w:val="0D0D0D" w:themeColor="text1" w:themeTint="F2"/>
          <w:kern w:val="0"/>
          <w:sz w:val="24"/>
          <w:szCs w:val="24"/>
          <w:highlight w:val="none"/>
          <w:u w:val="single"/>
          <w:lang w:val="en-US" w:eastAsia="zh-CN"/>
          <w14:textFill>
            <w14:solidFill>
              <w14:schemeClr w14:val="tx1">
                <w14:lumMod w14:val="95000"/>
                <w14:lumOff w14:val="5000"/>
              </w14:schemeClr>
            </w14:solidFill>
          </w14:textFill>
        </w:rPr>
        <w:t>6.86</w:t>
      </w:r>
      <w:r>
        <w:rPr>
          <w:rFonts w:hint="eastAsia" w:ascii="宋体" w:hAnsi="宋体" w:eastAsia="宋体" w:cs="宋体"/>
          <w:color w:val="0D0D0D" w:themeColor="text1" w:themeTint="F2"/>
          <w:kern w:val="0"/>
          <w:sz w:val="24"/>
          <w:szCs w:val="24"/>
          <w:highlight w:val="none"/>
          <w14:textFill>
            <w14:solidFill>
              <w14:schemeClr w14:val="tx1">
                <w14:lumMod w14:val="95000"/>
                <w14:lumOff w14:val="5000"/>
              </w14:schemeClr>
            </w14:solidFill>
          </w14:textFill>
        </w:rPr>
        <w:t>万元。</w:t>
      </w:r>
    </w:p>
    <w:p w14:paraId="15C415CE">
      <w:pPr>
        <w:keepNext w:val="0"/>
        <w:keepLines w:val="0"/>
        <w:pageBreakBefore w:val="0"/>
        <w:widowControl w:val="0"/>
        <w:kinsoku/>
        <w:wordWrap/>
        <w:overflowPunct/>
        <w:topLinePunct w:val="0"/>
        <w:autoSpaceDE/>
        <w:autoSpaceDN/>
        <w:bidi w:val="0"/>
        <w:adjustRightInd/>
        <w:snapToGrid/>
        <w:spacing w:before="157" w:beforeLines="50" w:line="385" w:lineRule="exact"/>
        <w:ind w:firstLine="482" w:firstLineChars="200"/>
        <w:textAlignment w:val="auto"/>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0"/>
          <w:sz w:val="24"/>
          <w:szCs w:val="24"/>
          <w:highlight w:val="none"/>
          <w14:textFill>
            <w14:solidFill>
              <w14:schemeClr w14:val="tx1">
                <w14:lumMod w14:val="95000"/>
                <w14:lumOff w14:val="5000"/>
              </w14:schemeClr>
            </w14:solidFill>
          </w14:textFill>
        </w:rPr>
        <w:t>三、投标人应当具备的资格条件：</w:t>
      </w:r>
    </w:p>
    <w:p w14:paraId="563A7FBA">
      <w:pPr>
        <w:keepNext w:val="0"/>
        <w:keepLines w:val="0"/>
        <w:pageBreakBefore w:val="0"/>
        <w:wordWrap/>
        <w:overflowPunct/>
        <w:topLinePunct w:val="0"/>
        <w:bidi w:val="0"/>
        <w:spacing w:line="385"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1、具有独立法人资格且具有有效的企业法人营业执照；</w:t>
      </w:r>
    </w:p>
    <w:p w14:paraId="0E38F590">
      <w:pPr>
        <w:keepNext w:val="0"/>
        <w:keepLines w:val="0"/>
        <w:pageBreakBefore w:val="0"/>
        <w:wordWrap/>
        <w:overflowPunct/>
        <w:topLinePunct w:val="0"/>
        <w:bidi w:val="0"/>
        <w:spacing w:line="385" w:lineRule="exact"/>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2、</w:t>
      </w:r>
      <w:r>
        <w:rPr>
          <w:rFonts w:hint="eastAsia" w:ascii="宋体" w:hAnsi="宋体" w:eastAsia="宋体" w:cs="宋体"/>
          <w:sz w:val="24"/>
          <w:szCs w:val="24"/>
          <w:highlight w:val="none"/>
          <w:lang w:val="en-US" w:eastAsia="zh-CN"/>
        </w:rPr>
        <w:t>具有国家电管部门颁发的承装（修、试）电力设施许可证：承装类四级（含四级）或承修类四级（含四级）或承试类四级（含四级）及以上资质；</w:t>
      </w:r>
    </w:p>
    <w:p w14:paraId="0864186D">
      <w:pPr>
        <w:keepNext w:val="0"/>
        <w:keepLines w:val="0"/>
        <w:pageBreakBefore w:val="0"/>
        <w:wordWrap/>
        <w:overflowPunct/>
        <w:topLinePunct w:val="0"/>
        <w:bidi w:val="0"/>
        <w:spacing w:line="385" w:lineRule="exact"/>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3.</w:t>
      </w:r>
      <w:r>
        <w:rPr>
          <w:rFonts w:hint="eastAsia" w:ascii="宋体" w:hAnsi="宋体" w:eastAsia="宋体" w:cs="宋体"/>
          <w:kern w:val="0"/>
          <w:sz w:val="24"/>
          <w:szCs w:val="24"/>
          <w:highlight w:val="none"/>
        </w:rPr>
        <w:t>提供由有资质的第三方检测机构出具的</w:t>
      </w:r>
      <w:r>
        <w:rPr>
          <w:rFonts w:hint="eastAsia" w:ascii="宋体" w:hAnsi="宋体" w:eastAsia="宋体" w:cs="宋体"/>
          <w:kern w:val="0"/>
          <w:sz w:val="24"/>
          <w:szCs w:val="24"/>
          <w:highlight w:val="none"/>
          <w:lang w:val="en-US" w:eastAsia="zh-CN"/>
        </w:rPr>
        <w:t>产品</w:t>
      </w:r>
      <w:r>
        <w:rPr>
          <w:rFonts w:hint="eastAsia" w:ascii="宋体" w:hAnsi="宋体" w:eastAsia="宋体" w:cs="宋体"/>
          <w:sz w:val="24"/>
          <w:szCs w:val="24"/>
          <w:highlight w:val="none"/>
          <w:lang w:val="en-US" w:eastAsia="zh-CN"/>
        </w:rPr>
        <w:t>型式试验报告</w:t>
      </w:r>
      <w:r>
        <w:rPr>
          <w:rFonts w:hint="eastAsia" w:ascii="宋体" w:hAnsi="宋体" w:eastAsia="宋体" w:cs="宋体"/>
          <w:kern w:val="0"/>
          <w:sz w:val="24"/>
          <w:szCs w:val="24"/>
          <w:highlight w:val="none"/>
        </w:rPr>
        <w:t>；</w:t>
      </w:r>
    </w:p>
    <w:p w14:paraId="2E6BCAC7">
      <w:pPr>
        <w:keepNext w:val="0"/>
        <w:keepLines w:val="0"/>
        <w:pageBreakBefore w:val="0"/>
        <w:wordWrap/>
        <w:overflowPunct/>
        <w:topLinePunct w:val="0"/>
        <w:bidi w:val="0"/>
        <w:spacing w:line="385"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rPr>
        <w:t>近三年(2022年1月1日以来，以签订合同时间为准)</w:t>
      </w:r>
      <w:r>
        <w:rPr>
          <w:rFonts w:hint="eastAsia" w:ascii="宋体" w:hAnsi="宋体" w:eastAsia="宋体" w:cs="宋体"/>
          <w:sz w:val="24"/>
          <w:szCs w:val="24"/>
          <w:highlight w:val="none"/>
          <w:lang w:val="en-US" w:eastAsia="zh-CN"/>
        </w:rPr>
        <w:t>谐波治理（含有源滤波器销售、安装、调试）</w:t>
      </w:r>
      <w:r>
        <w:rPr>
          <w:rFonts w:hint="eastAsia" w:ascii="宋体" w:hAnsi="宋体" w:eastAsia="宋体" w:cs="宋体"/>
          <w:sz w:val="24"/>
          <w:szCs w:val="24"/>
          <w:highlight w:val="none"/>
        </w:rPr>
        <w:t>类似项目业绩3个及以上(含3个，提供双方盖章合同)；</w:t>
      </w:r>
    </w:p>
    <w:p w14:paraId="6F13DC8B">
      <w:pPr>
        <w:keepNext w:val="0"/>
        <w:keepLines w:val="0"/>
        <w:pageBreakBefore w:val="0"/>
        <w:wordWrap/>
        <w:overflowPunct/>
        <w:topLinePunct w:val="0"/>
        <w:bidi w:val="0"/>
        <w:spacing w:line="385"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rPr>
        <w:t>授权委托人（如有）与投标人签订的有效劳动合同或投标人为授权委托人（如有）缴纳的202</w:t>
      </w:r>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rPr>
        <w:t>年</w:t>
      </w:r>
      <w:r>
        <w:rPr>
          <w:rFonts w:hint="eastAsia" w:ascii="宋体" w:hAnsi="宋体" w:cs="宋体"/>
          <w:sz w:val="24"/>
          <w:szCs w:val="24"/>
          <w:highlight w:val="none"/>
          <w:lang w:val="en-US" w:eastAsia="zh-CN"/>
        </w:rPr>
        <w:t>3</w:t>
      </w:r>
      <w:r>
        <w:rPr>
          <w:rFonts w:hint="eastAsia" w:ascii="宋体" w:hAnsi="宋体" w:eastAsia="宋体" w:cs="宋体"/>
          <w:sz w:val="24"/>
          <w:szCs w:val="24"/>
          <w:highlight w:val="none"/>
        </w:rPr>
        <w:t>月至2025年</w:t>
      </w:r>
      <w:r>
        <w:rPr>
          <w:rFonts w:hint="eastAsia" w:ascii="宋体" w:hAnsi="宋体" w:cs="宋体"/>
          <w:sz w:val="24"/>
          <w:szCs w:val="24"/>
          <w:highlight w:val="none"/>
          <w:lang w:val="en-US" w:eastAsia="zh-CN"/>
        </w:rPr>
        <w:t>5</w:t>
      </w:r>
      <w:r>
        <w:rPr>
          <w:rFonts w:hint="eastAsia" w:ascii="宋体" w:hAnsi="宋体" w:eastAsia="宋体" w:cs="宋体"/>
          <w:sz w:val="24"/>
          <w:szCs w:val="24"/>
          <w:highlight w:val="none"/>
        </w:rPr>
        <w:t>月任意1个月养老保险缴费证明（企业法定代表人参与投标，此项不需提供）；</w:t>
      </w:r>
    </w:p>
    <w:p w14:paraId="1AB4C478">
      <w:pPr>
        <w:keepNext w:val="0"/>
        <w:keepLines w:val="0"/>
        <w:pageBreakBefore w:val="0"/>
        <w:wordWrap/>
        <w:overflowPunct/>
        <w:topLinePunct w:val="0"/>
        <w:bidi w:val="0"/>
        <w:spacing w:line="385"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6.</w:t>
      </w:r>
      <w:r>
        <w:rPr>
          <w:rFonts w:hint="eastAsia" w:ascii="宋体" w:hAnsi="宋体" w:eastAsia="宋体" w:cs="宋体"/>
          <w:sz w:val="24"/>
          <w:szCs w:val="24"/>
          <w:highlight w:val="none"/>
        </w:rPr>
        <w:t>投标声明函（格式见招标文件）。</w:t>
      </w:r>
    </w:p>
    <w:p w14:paraId="18E670AC">
      <w:pPr>
        <w:keepNext w:val="0"/>
        <w:keepLines w:val="0"/>
        <w:pageBreakBefore w:val="0"/>
        <w:wordWrap/>
        <w:overflowPunct/>
        <w:topLinePunct w:val="0"/>
        <w:bidi w:val="0"/>
        <w:spacing w:line="385"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投标人提供的投标文件中的内容没有失实或者弄虚作假，若提供虚假材料的，投标保证金一律没收，记不良行为一次并网上公示。</w:t>
      </w:r>
    </w:p>
    <w:p w14:paraId="04D14D28">
      <w:pPr>
        <w:keepNext w:val="0"/>
        <w:keepLines w:val="0"/>
        <w:pageBreakBefore w:val="0"/>
        <w:widowControl/>
        <w:wordWrap/>
        <w:overflowPunct/>
        <w:topLinePunct w:val="0"/>
        <w:bidi w:val="0"/>
        <w:spacing w:line="385" w:lineRule="exact"/>
        <w:ind w:firstLine="480" w:firstLineChars="200"/>
        <w:jc w:val="left"/>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本项目不接受联合体投标。</w:t>
      </w:r>
    </w:p>
    <w:p w14:paraId="4D3A2AA0">
      <w:pPr>
        <w:keepNext w:val="0"/>
        <w:keepLines w:val="0"/>
        <w:pageBreakBefore w:val="0"/>
        <w:widowControl/>
        <w:kinsoku/>
        <w:wordWrap/>
        <w:overflowPunct/>
        <w:topLinePunct w:val="0"/>
        <w:autoSpaceDE/>
        <w:autoSpaceDN/>
        <w:bidi w:val="0"/>
        <w:adjustRightInd/>
        <w:snapToGrid/>
        <w:spacing w:before="157" w:beforeLines="50" w:line="385" w:lineRule="exact"/>
        <w:ind w:firstLine="482" w:firstLineChars="200"/>
        <w:jc w:val="left"/>
        <w:textAlignment w:val="auto"/>
        <w:rPr>
          <w:rFonts w:hint="eastAsia" w:ascii="宋体" w:hAnsi="宋体" w:eastAsia="宋体" w:cs="宋体"/>
          <w:b/>
          <w:bCs/>
          <w:color w:val="0C0C0C"/>
          <w:kern w:val="0"/>
          <w:sz w:val="24"/>
          <w:szCs w:val="24"/>
          <w:highlight w:val="none"/>
        </w:rPr>
      </w:pPr>
      <w:r>
        <w:rPr>
          <w:rFonts w:hint="eastAsia" w:ascii="宋体" w:hAnsi="宋体" w:eastAsia="宋体" w:cs="宋体"/>
          <w:b/>
          <w:bCs/>
          <w:color w:val="0C0C0C"/>
          <w:kern w:val="0"/>
          <w:sz w:val="24"/>
          <w:szCs w:val="24"/>
          <w:highlight w:val="none"/>
        </w:rPr>
        <w:t>四、投标费用</w:t>
      </w:r>
    </w:p>
    <w:p w14:paraId="78177F0A">
      <w:pPr>
        <w:keepNext w:val="0"/>
        <w:keepLines w:val="0"/>
        <w:pageBreakBefore w:val="0"/>
        <w:wordWrap/>
        <w:overflowPunct/>
        <w:topLinePunct w:val="0"/>
        <w:bidi w:val="0"/>
        <w:spacing w:line="385" w:lineRule="exact"/>
        <w:ind w:firstLine="480" w:firstLineChars="200"/>
        <w:rPr>
          <w:rFonts w:hint="eastAsia" w:ascii="宋体" w:hAnsi="宋体" w:eastAsia="宋体" w:cs="宋体"/>
          <w:color w:val="0C0C0C"/>
          <w:sz w:val="24"/>
          <w:szCs w:val="24"/>
          <w:highlight w:val="none"/>
        </w:rPr>
      </w:pPr>
      <w:r>
        <w:rPr>
          <w:rFonts w:hint="eastAsia" w:ascii="宋体" w:hAnsi="宋体" w:eastAsia="宋体" w:cs="宋体"/>
          <w:color w:val="0C0C0C"/>
          <w:sz w:val="24"/>
          <w:szCs w:val="24"/>
          <w:highlight w:val="none"/>
        </w:rPr>
        <w:t>投标单位应承担其编制投标文件以及递交投标文件所涉及的一切费用，无论投标结果如何，招标人对上述费用不负任何责任。</w:t>
      </w:r>
    </w:p>
    <w:p w14:paraId="3D87AAAC">
      <w:pPr>
        <w:keepNext w:val="0"/>
        <w:keepLines w:val="0"/>
        <w:pageBreakBefore w:val="0"/>
        <w:widowControl/>
        <w:kinsoku w:val="0"/>
        <w:wordWrap/>
        <w:overflowPunct/>
        <w:topLinePunct w:val="0"/>
        <w:autoSpaceDE w:val="0"/>
        <w:autoSpaceDN w:val="0"/>
        <w:bidi w:val="0"/>
        <w:adjustRightInd w:val="0"/>
        <w:snapToGrid w:val="0"/>
        <w:spacing w:line="385" w:lineRule="exact"/>
        <w:ind w:firstLine="480" w:firstLineChars="200"/>
        <w:jc w:val="left"/>
        <w:textAlignment w:val="baseline"/>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获取费用：免费。</w:t>
      </w:r>
    </w:p>
    <w:p w14:paraId="78B816DA">
      <w:pPr>
        <w:keepNext w:val="0"/>
        <w:keepLines w:val="0"/>
        <w:pageBreakBefore w:val="0"/>
        <w:widowControl/>
        <w:wordWrap/>
        <w:overflowPunct/>
        <w:topLinePunct w:val="0"/>
        <w:bidi w:val="0"/>
        <w:spacing w:line="385" w:lineRule="exact"/>
        <w:ind w:firstLine="482" w:firstLineChars="200"/>
        <w:jc w:val="left"/>
        <w:rPr>
          <w:rFonts w:hint="eastAsia" w:ascii="宋体" w:hAnsi="宋体" w:eastAsia="宋体" w:cs="宋体"/>
          <w:color w:val="0D0D0D" w:themeColor="text1" w:themeTint="F2"/>
          <w:kern w:val="0"/>
          <w:sz w:val="24"/>
          <w:szCs w:val="24"/>
          <w:highlight w:val="none"/>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0"/>
          <w:sz w:val="24"/>
          <w:szCs w:val="24"/>
          <w:highlight w:val="none"/>
          <w14:textFill>
            <w14:solidFill>
              <w14:schemeClr w14:val="tx1">
                <w14:lumMod w14:val="95000"/>
                <w14:lumOff w14:val="5000"/>
              </w14:schemeClr>
            </w14:solidFill>
          </w14:textFill>
        </w:rPr>
        <w:t>五、答疑</w:t>
      </w:r>
    </w:p>
    <w:p w14:paraId="4024A285">
      <w:pPr>
        <w:keepNext w:val="0"/>
        <w:keepLines w:val="0"/>
        <w:pageBreakBefore w:val="0"/>
        <w:wordWrap/>
        <w:overflowPunct/>
        <w:topLinePunct w:val="0"/>
        <w:bidi w:val="0"/>
        <w:spacing w:line="385"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rPr>
        <w:t>投标人获取招标文件后，应仔细核查招标文件的所有内容，投标人如有疑问，应在</w:t>
      </w:r>
      <w:r>
        <w:rPr>
          <w:rFonts w:hint="eastAsia" w:ascii="宋体" w:hAnsi="宋体" w:eastAsia="宋体" w:cs="宋体"/>
          <w:b/>
          <w:sz w:val="24"/>
          <w:szCs w:val="24"/>
          <w:highlight w:val="none"/>
        </w:rPr>
        <w:t>2025年</w:t>
      </w:r>
      <w:r>
        <w:rPr>
          <w:rFonts w:hint="eastAsia" w:ascii="宋体" w:hAnsi="宋体" w:cs="宋体"/>
          <w:b/>
          <w:sz w:val="24"/>
          <w:szCs w:val="24"/>
          <w:highlight w:val="none"/>
          <w:u w:val="single"/>
          <w:lang w:val="en-US" w:eastAsia="zh-CN"/>
        </w:rPr>
        <w:t>7</w:t>
      </w:r>
      <w:r>
        <w:rPr>
          <w:rFonts w:hint="eastAsia" w:ascii="宋体" w:hAnsi="宋体" w:eastAsia="宋体" w:cs="宋体"/>
          <w:b/>
          <w:sz w:val="24"/>
          <w:szCs w:val="24"/>
          <w:highlight w:val="none"/>
        </w:rPr>
        <w:t>月</w:t>
      </w:r>
      <w:r>
        <w:rPr>
          <w:rFonts w:hint="eastAsia" w:ascii="宋体" w:hAnsi="宋体" w:cs="宋体"/>
          <w:b/>
          <w:sz w:val="24"/>
          <w:szCs w:val="24"/>
          <w:highlight w:val="none"/>
          <w:u w:val="single"/>
          <w:lang w:val="en-US" w:eastAsia="zh-CN"/>
        </w:rPr>
        <w:t xml:space="preserve"> 2</w:t>
      </w:r>
      <w:r>
        <w:rPr>
          <w:rFonts w:hint="eastAsia" w:ascii="宋体" w:hAnsi="宋体" w:eastAsia="宋体" w:cs="宋体"/>
          <w:b/>
          <w:sz w:val="24"/>
          <w:szCs w:val="24"/>
          <w:highlight w:val="none"/>
        </w:rPr>
        <w:t>日17：00</w:t>
      </w:r>
      <w:r>
        <w:rPr>
          <w:rFonts w:hint="eastAsia" w:ascii="宋体" w:hAnsi="宋体" w:eastAsia="宋体" w:cs="宋体"/>
          <w:sz w:val="24"/>
          <w:szCs w:val="24"/>
          <w:highlight w:val="none"/>
        </w:rPr>
        <w:t>前提出，要求招标人对招标文件予以澄清。如在规定时间未提出询问的，视为投标人理解并接受招标文件所有内容。否则，由此引起的损失由投标人自己承担。投标人同时应认真审核招标文件中所有的事项、格式、条款和规范要求等，若投标人的投标文件没有按招标文件要求提交全部资料，或投标文件没有对招标文件作出实质性响应，其风险由投标人自行承担，并根据有关条款规定，该标书有可能被拒绝。</w:t>
      </w:r>
    </w:p>
    <w:p w14:paraId="2E727032">
      <w:pPr>
        <w:keepNext w:val="0"/>
        <w:keepLines w:val="0"/>
        <w:pageBreakBefore w:val="0"/>
        <w:wordWrap/>
        <w:overflowPunct/>
        <w:topLinePunct w:val="0"/>
        <w:bidi w:val="0"/>
        <w:spacing w:line="385" w:lineRule="exact"/>
        <w:ind w:firstLine="480" w:firstLineChars="200"/>
        <w:rPr>
          <w:rFonts w:hint="eastAsia" w:ascii="宋体" w:hAnsi="宋体" w:eastAsia="宋体" w:cs="宋体"/>
          <w:sz w:val="24"/>
          <w:szCs w:val="24"/>
          <w:highlight w:val="none"/>
        </w:rPr>
      </w:pPr>
      <w:r>
        <w:rPr>
          <w:rFonts w:hint="eastAsia" w:ascii="宋体" w:hAnsi="宋体" w:eastAsia="宋体" w:cs="宋体"/>
          <w:color w:val="000000"/>
          <w:sz w:val="24"/>
          <w:szCs w:val="24"/>
          <w:highlight w:val="none"/>
        </w:rPr>
        <w:t>2</w:t>
      </w:r>
      <w:r>
        <w:rPr>
          <w:rFonts w:hint="eastAsia" w:ascii="宋体" w:hAnsi="宋体" w:eastAsia="宋体" w:cs="宋体"/>
          <w:color w:val="000000"/>
          <w:sz w:val="24"/>
          <w:szCs w:val="24"/>
          <w:highlight w:val="none"/>
          <w:lang w:val="en-US" w:eastAsia="zh-CN"/>
        </w:rPr>
        <w:t>.</w:t>
      </w:r>
      <w:r>
        <w:rPr>
          <w:rFonts w:hint="eastAsia" w:ascii="宋体" w:hAnsi="宋体" w:eastAsia="宋体" w:cs="宋体"/>
          <w:sz w:val="24"/>
          <w:szCs w:val="24"/>
          <w:highlight w:val="none"/>
        </w:rPr>
        <w:t>无论是招标人根据需要主动对招标文件进行必要的澄清、修改或补充，或是根据投标人的招标答疑、澄清要求对招标文件做出招标答疑、澄清要求回复，招标人都将予以澄清、修改或补充，招标人或招标代理机构将在</w:t>
      </w:r>
      <w:r>
        <w:rPr>
          <w:rFonts w:hint="eastAsia" w:ascii="宋体" w:hAnsi="宋体" w:eastAsia="宋体" w:cs="宋体"/>
          <w:b/>
          <w:sz w:val="24"/>
          <w:szCs w:val="24"/>
          <w:highlight w:val="none"/>
        </w:rPr>
        <w:t>2025年</w:t>
      </w:r>
      <w:r>
        <w:rPr>
          <w:rFonts w:hint="eastAsia" w:ascii="宋体" w:hAnsi="宋体" w:cs="宋体"/>
          <w:b/>
          <w:sz w:val="24"/>
          <w:szCs w:val="24"/>
          <w:highlight w:val="none"/>
          <w:u w:val="single"/>
          <w:lang w:val="en-US" w:eastAsia="zh-CN"/>
        </w:rPr>
        <w:t>7</w:t>
      </w:r>
      <w:r>
        <w:rPr>
          <w:rFonts w:hint="eastAsia" w:ascii="宋体" w:hAnsi="宋体" w:eastAsia="宋体" w:cs="宋体"/>
          <w:b/>
          <w:sz w:val="24"/>
          <w:szCs w:val="24"/>
          <w:highlight w:val="none"/>
        </w:rPr>
        <w:t>月</w:t>
      </w:r>
      <w:r>
        <w:rPr>
          <w:rFonts w:hint="eastAsia" w:ascii="宋体" w:hAnsi="宋体" w:eastAsia="宋体" w:cs="宋体"/>
          <w:b/>
          <w:sz w:val="24"/>
          <w:szCs w:val="24"/>
          <w:highlight w:val="none"/>
          <w:u w:val="single"/>
        </w:rPr>
        <w:t xml:space="preserve"> </w:t>
      </w:r>
      <w:r>
        <w:rPr>
          <w:rFonts w:hint="eastAsia" w:ascii="宋体" w:hAnsi="宋体" w:cs="宋体"/>
          <w:b/>
          <w:sz w:val="24"/>
          <w:szCs w:val="24"/>
          <w:highlight w:val="none"/>
          <w:u w:val="single"/>
          <w:lang w:val="en-US" w:eastAsia="zh-CN"/>
        </w:rPr>
        <w:t>4</w:t>
      </w:r>
      <w:r>
        <w:rPr>
          <w:rFonts w:hint="eastAsia" w:ascii="宋体" w:hAnsi="宋体" w:eastAsia="宋体" w:cs="宋体"/>
          <w:b/>
          <w:sz w:val="24"/>
          <w:szCs w:val="24"/>
          <w:highlight w:val="none"/>
          <w:u w:val="single"/>
        </w:rPr>
        <w:t xml:space="preserve"> </w:t>
      </w:r>
      <w:r>
        <w:rPr>
          <w:rFonts w:hint="eastAsia" w:ascii="宋体" w:hAnsi="宋体" w:eastAsia="宋体" w:cs="宋体"/>
          <w:b/>
          <w:sz w:val="24"/>
          <w:szCs w:val="24"/>
          <w:highlight w:val="none"/>
        </w:rPr>
        <w:t>日24：00</w:t>
      </w:r>
      <w:r>
        <w:rPr>
          <w:rFonts w:hint="eastAsia" w:ascii="宋体" w:hAnsi="宋体" w:eastAsia="宋体" w:cs="宋体"/>
          <w:sz w:val="24"/>
          <w:szCs w:val="24"/>
          <w:highlight w:val="none"/>
        </w:rPr>
        <w:t>前通过“南通市通州区水务有限公司”网站发给所有投标人。</w:t>
      </w:r>
    </w:p>
    <w:p w14:paraId="16FDA2AB">
      <w:pPr>
        <w:keepNext w:val="0"/>
        <w:keepLines w:val="0"/>
        <w:pageBreakBefore w:val="0"/>
        <w:wordWrap/>
        <w:overflowPunct/>
        <w:topLinePunct w:val="0"/>
        <w:bidi w:val="0"/>
        <w:spacing w:line="385"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当招标文件、招标文件的澄清等在同一内容的表述上不一致时，以最后发布的为准。</w:t>
      </w:r>
    </w:p>
    <w:p w14:paraId="180FE9ED">
      <w:pPr>
        <w:keepNext w:val="0"/>
        <w:keepLines w:val="0"/>
        <w:pageBreakBefore w:val="0"/>
        <w:widowControl/>
        <w:kinsoku/>
        <w:wordWrap/>
        <w:overflowPunct/>
        <w:topLinePunct w:val="0"/>
        <w:autoSpaceDE/>
        <w:autoSpaceDN/>
        <w:bidi w:val="0"/>
        <w:adjustRightInd/>
        <w:snapToGrid/>
        <w:spacing w:before="157" w:beforeLines="50" w:line="385" w:lineRule="exact"/>
        <w:ind w:firstLine="482" w:firstLineChars="200"/>
        <w:jc w:val="left"/>
        <w:textAlignment w:val="auto"/>
        <w:rPr>
          <w:rFonts w:hint="eastAsia" w:ascii="宋体" w:hAnsi="宋体" w:eastAsia="宋体" w:cs="宋体"/>
          <w:b/>
          <w:bCs/>
          <w:color w:val="0D0D0D" w:themeColor="text1" w:themeTint="F2"/>
          <w:kern w:val="0"/>
          <w:sz w:val="24"/>
          <w:szCs w:val="24"/>
          <w:highlight w:val="none"/>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0"/>
          <w:sz w:val="24"/>
          <w:szCs w:val="24"/>
          <w:highlight w:val="none"/>
          <w:lang w:val="en-US" w:eastAsia="zh-CN"/>
          <w14:textFill>
            <w14:solidFill>
              <w14:schemeClr w14:val="tx1">
                <w14:lumMod w14:val="95000"/>
                <w14:lumOff w14:val="5000"/>
              </w14:schemeClr>
            </w14:solidFill>
          </w14:textFill>
        </w:rPr>
        <w:t>六</w:t>
      </w:r>
      <w:r>
        <w:rPr>
          <w:rFonts w:hint="eastAsia" w:ascii="宋体" w:hAnsi="宋体" w:eastAsia="宋体" w:cs="宋体"/>
          <w:b/>
          <w:bCs/>
          <w:color w:val="0D0D0D" w:themeColor="text1" w:themeTint="F2"/>
          <w:kern w:val="0"/>
          <w:sz w:val="24"/>
          <w:szCs w:val="24"/>
          <w:highlight w:val="none"/>
          <w14:textFill>
            <w14:solidFill>
              <w14:schemeClr w14:val="tx1">
                <w14:lumMod w14:val="95000"/>
                <w14:lumOff w14:val="5000"/>
              </w14:schemeClr>
            </w14:solidFill>
          </w14:textFill>
        </w:rPr>
        <w:t>、投标文件的递交:</w:t>
      </w:r>
    </w:p>
    <w:p w14:paraId="031F723B">
      <w:pPr>
        <w:pStyle w:val="56"/>
        <w:keepNext w:val="0"/>
        <w:keepLines w:val="0"/>
        <w:pageBreakBefore w:val="0"/>
        <w:widowControl/>
        <w:wordWrap/>
        <w:overflowPunct/>
        <w:topLinePunct w:val="0"/>
        <w:bidi w:val="0"/>
        <w:spacing w:line="385" w:lineRule="exact"/>
        <w:jc w:val="left"/>
        <w:rPr>
          <w:rFonts w:hint="eastAsia" w:ascii="宋体" w:hAnsi="宋体" w:eastAsia="宋体" w:cs="宋体"/>
          <w:color w:val="0D0D0D" w:themeColor="text1" w:themeTint="F2"/>
          <w:kern w:val="0"/>
          <w:sz w:val="24"/>
          <w:szCs w:val="24"/>
          <w:highlight w:val="none"/>
          <w14:textFill>
            <w14:solidFill>
              <w14:schemeClr w14:val="tx1">
                <w14:lumMod w14:val="95000"/>
                <w14:lumOff w14:val="5000"/>
              </w14:schemeClr>
            </w14:solidFill>
          </w14:textFill>
        </w:rPr>
      </w:pPr>
      <w:r>
        <w:rPr>
          <w:rFonts w:hint="eastAsia" w:ascii="宋体" w:hAnsi="宋体" w:eastAsia="宋体" w:cs="宋体"/>
          <w:color w:val="000000"/>
          <w:sz w:val="24"/>
          <w:szCs w:val="24"/>
          <w:highlight w:val="none"/>
          <w:lang w:val="en-US" w:eastAsia="zh-CN"/>
        </w:rPr>
        <w:t>1.</w:t>
      </w:r>
      <w:r>
        <w:rPr>
          <w:rFonts w:hint="eastAsia" w:ascii="宋体" w:hAnsi="宋体" w:eastAsia="宋体" w:cs="宋体"/>
          <w:color w:val="000000"/>
          <w:sz w:val="24"/>
          <w:szCs w:val="24"/>
          <w:highlight w:val="none"/>
        </w:rPr>
        <w:t>投标截止时间及</w:t>
      </w:r>
      <w:r>
        <w:rPr>
          <w:rFonts w:hint="eastAsia" w:ascii="宋体" w:hAnsi="宋体" w:eastAsia="宋体" w:cs="宋体"/>
          <w:color w:val="0D0D0D" w:themeColor="text1" w:themeTint="F2"/>
          <w:kern w:val="0"/>
          <w:sz w:val="24"/>
          <w:szCs w:val="24"/>
          <w:highlight w:val="none"/>
          <w14:textFill>
            <w14:solidFill>
              <w14:schemeClr w14:val="tx1">
                <w14:lumMod w14:val="95000"/>
                <w14:lumOff w14:val="5000"/>
              </w14:schemeClr>
            </w14:solidFill>
          </w14:textFill>
        </w:rPr>
        <w:t>投标文件递交截止时间：</w:t>
      </w:r>
      <w:r>
        <w:rPr>
          <w:rFonts w:hint="eastAsia" w:ascii="宋体" w:hAnsi="宋体" w:eastAsia="宋体" w:cs="宋体"/>
          <w:b/>
          <w:bCs/>
          <w:color w:val="0D0D0D" w:themeColor="text1" w:themeTint="F2"/>
          <w:kern w:val="0"/>
          <w:sz w:val="24"/>
          <w:szCs w:val="24"/>
          <w:highlight w:val="none"/>
          <w14:textFill>
            <w14:solidFill>
              <w14:schemeClr w14:val="tx1">
                <w14:lumMod w14:val="95000"/>
                <w14:lumOff w14:val="5000"/>
              </w14:schemeClr>
            </w14:solidFill>
          </w14:textFill>
        </w:rPr>
        <w:t>2025年</w:t>
      </w:r>
      <w:r>
        <w:rPr>
          <w:rFonts w:hint="eastAsia" w:ascii="宋体" w:hAnsi="宋体" w:cs="宋体"/>
          <w:b/>
          <w:bCs/>
          <w:color w:val="0D0D0D" w:themeColor="text1" w:themeTint="F2"/>
          <w:kern w:val="0"/>
          <w:sz w:val="24"/>
          <w:szCs w:val="24"/>
          <w:highlight w:val="none"/>
          <w:lang w:val="en-US" w:eastAsia="zh-CN"/>
          <w14:textFill>
            <w14:solidFill>
              <w14:schemeClr w14:val="tx1">
                <w14:lumMod w14:val="95000"/>
                <w14:lumOff w14:val="5000"/>
              </w14:schemeClr>
            </w14:solidFill>
          </w14:textFill>
        </w:rPr>
        <w:t>7</w:t>
      </w:r>
      <w:r>
        <w:rPr>
          <w:rFonts w:hint="eastAsia" w:ascii="宋体" w:hAnsi="宋体" w:eastAsia="宋体" w:cs="宋体"/>
          <w:b/>
          <w:bCs/>
          <w:color w:val="0D0D0D" w:themeColor="text1" w:themeTint="F2"/>
          <w:kern w:val="0"/>
          <w:sz w:val="24"/>
          <w:szCs w:val="24"/>
          <w:highlight w:val="none"/>
          <w14:textFill>
            <w14:solidFill>
              <w14:schemeClr w14:val="tx1">
                <w14:lumMod w14:val="95000"/>
                <w14:lumOff w14:val="5000"/>
              </w14:schemeClr>
            </w14:solidFill>
          </w14:textFill>
        </w:rPr>
        <w:t>月</w:t>
      </w:r>
      <w:r>
        <w:rPr>
          <w:rFonts w:hint="eastAsia" w:ascii="宋体" w:hAnsi="宋体" w:eastAsia="宋体" w:cs="宋体"/>
          <w:b/>
          <w:bCs/>
          <w:color w:val="0D0D0D" w:themeColor="text1" w:themeTint="F2"/>
          <w:kern w:val="0"/>
          <w:sz w:val="24"/>
          <w:szCs w:val="24"/>
          <w:highlight w:val="none"/>
          <w:u w:val="single"/>
          <w14:textFill>
            <w14:solidFill>
              <w14:schemeClr w14:val="tx1">
                <w14:lumMod w14:val="95000"/>
                <w14:lumOff w14:val="5000"/>
              </w14:schemeClr>
            </w14:solidFill>
          </w14:textFill>
        </w:rPr>
        <w:t xml:space="preserve">  </w:t>
      </w:r>
      <w:r>
        <w:rPr>
          <w:rFonts w:hint="eastAsia" w:ascii="宋体" w:hAnsi="宋体" w:cs="宋体"/>
          <w:b/>
          <w:bCs/>
          <w:color w:val="0D0D0D" w:themeColor="text1" w:themeTint="F2"/>
          <w:kern w:val="0"/>
          <w:sz w:val="24"/>
          <w:szCs w:val="24"/>
          <w:highlight w:val="none"/>
          <w:u w:val="single"/>
          <w:lang w:val="en-US" w:eastAsia="zh-CN"/>
          <w14:textFill>
            <w14:solidFill>
              <w14:schemeClr w14:val="tx1">
                <w14:lumMod w14:val="95000"/>
                <w14:lumOff w14:val="5000"/>
              </w14:schemeClr>
            </w14:solidFill>
          </w14:textFill>
        </w:rPr>
        <w:t>7</w:t>
      </w:r>
      <w:r>
        <w:rPr>
          <w:rFonts w:hint="eastAsia" w:ascii="宋体" w:hAnsi="宋体" w:eastAsia="宋体" w:cs="宋体"/>
          <w:b/>
          <w:bCs/>
          <w:color w:val="0D0D0D" w:themeColor="text1" w:themeTint="F2"/>
          <w:kern w:val="0"/>
          <w:sz w:val="24"/>
          <w:szCs w:val="24"/>
          <w:highlight w:val="none"/>
          <w:u w:val="single"/>
          <w14:textFill>
            <w14:solidFill>
              <w14:schemeClr w14:val="tx1">
                <w14:lumMod w14:val="95000"/>
                <w14:lumOff w14:val="5000"/>
              </w14:schemeClr>
            </w14:solidFill>
          </w14:textFill>
        </w:rPr>
        <w:t xml:space="preserve">  </w:t>
      </w:r>
      <w:r>
        <w:rPr>
          <w:rFonts w:hint="eastAsia" w:ascii="宋体" w:hAnsi="宋体" w:eastAsia="宋体" w:cs="宋体"/>
          <w:b/>
          <w:bCs/>
          <w:color w:val="0D0D0D" w:themeColor="text1" w:themeTint="F2"/>
          <w:kern w:val="0"/>
          <w:sz w:val="24"/>
          <w:szCs w:val="24"/>
          <w:highlight w:val="none"/>
          <w14:textFill>
            <w14:solidFill>
              <w14:schemeClr w14:val="tx1">
                <w14:lumMod w14:val="95000"/>
                <w14:lumOff w14:val="5000"/>
              </w14:schemeClr>
            </w14:solidFill>
          </w14:textFill>
        </w:rPr>
        <w:t>日</w:t>
      </w:r>
      <w:r>
        <w:rPr>
          <w:rFonts w:hint="eastAsia" w:ascii="宋体" w:hAnsi="宋体" w:eastAsia="宋体" w:cs="宋体"/>
          <w:b/>
          <w:bCs/>
          <w:color w:val="0D0D0D" w:themeColor="text1" w:themeTint="F2"/>
          <w:kern w:val="0"/>
          <w:sz w:val="24"/>
          <w:szCs w:val="24"/>
          <w:highlight w:val="none"/>
          <w:u w:val="single"/>
          <w14:textFill>
            <w14:solidFill>
              <w14:schemeClr w14:val="tx1">
                <w14:lumMod w14:val="95000"/>
                <w14:lumOff w14:val="5000"/>
              </w14:schemeClr>
            </w14:solidFill>
          </w14:textFill>
        </w:rPr>
        <w:t xml:space="preserve">   </w:t>
      </w:r>
      <w:r>
        <w:rPr>
          <w:rFonts w:hint="eastAsia" w:ascii="宋体" w:hAnsi="宋体" w:cs="宋体"/>
          <w:b/>
          <w:bCs/>
          <w:color w:val="0D0D0D" w:themeColor="text1" w:themeTint="F2"/>
          <w:kern w:val="0"/>
          <w:sz w:val="24"/>
          <w:szCs w:val="24"/>
          <w:highlight w:val="none"/>
          <w:u w:val="single"/>
          <w:lang w:val="en-US" w:eastAsia="zh-CN"/>
          <w14:textFill>
            <w14:solidFill>
              <w14:schemeClr w14:val="tx1">
                <w14:lumMod w14:val="95000"/>
                <w14:lumOff w14:val="5000"/>
              </w14:schemeClr>
            </w14:solidFill>
          </w14:textFill>
        </w:rPr>
        <w:t>9</w:t>
      </w:r>
      <w:r>
        <w:rPr>
          <w:rFonts w:hint="eastAsia" w:ascii="宋体" w:hAnsi="宋体" w:eastAsia="宋体" w:cs="宋体"/>
          <w:b/>
          <w:bCs/>
          <w:color w:val="0D0D0D" w:themeColor="text1" w:themeTint="F2"/>
          <w:kern w:val="0"/>
          <w:sz w:val="24"/>
          <w:szCs w:val="24"/>
          <w:highlight w:val="none"/>
          <w:u w:val="single"/>
          <w14:textFill>
            <w14:solidFill>
              <w14:schemeClr w14:val="tx1">
                <w14:lumMod w14:val="95000"/>
                <w14:lumOff w14:val="5000"/>
              </w14:schemeClr>
            </w14:solidFill>
          </w14:textFill>
        </w:rPr>
        <w:t xml:space="preserve">  </w:t>
      </w:r>
      <w:r>
        <w:rPr>
          <w:rFonts w:hint="eastAsia" w:ascii="宋体" w:hAnsi="宋体" w:eastAsia="宋体" w:cs="宋体"/>
          <w:b/>
          <w:bCs/>
          <w:color w:val="0D0D0D" w:themeColor="text1" w:themeTint="F2"/>
          <w:kern w:val="0"/>
          <w:sz w:val="24"/>
          <w:szCs w:val="24"/>
          <w:highlight w:val="none"/>
          <w14:textFill>
            <w14:solidFill>
              <w14:schemeClr w14:val="tx1">
                <w14:lumMod w14:val="95000"/>
                <w14:lumOff w14:val="5000"/>
              </w14:schemeClr>
            </w14:solidFill>
          </w14:textFill>
        </w:rPr>
        <w:t>时</w:t>
      </w:r>
      <w:r>
        <w:rPr>
          <w:rFonts w:hint="eastAsia" w:ascii="宋体" w:hAnsi="宋体" w:eastAsia="宋体" w:cs="宋体"/>
          <w:b/>
          <w:bCs/>
          <w:color w:val="0D0D0D" w:themeColor="text1" w:themeTint="F2"/>
          <w:kern w:val="0"/>
          <w:sz w:val="24"/>
          <w:szCs w:val="24"/>
          <w:highlight w:val="none"/>
          <w:u w:val="single"/>
          <w14:textFill>
            <w14:solidFill>
              <w14:schemeClr w14:val="tx1">
                <w14:lumMod w14:val="95000"/>
                <w14:lumOff w14:val="5000"/>
              </w14:schemeClr>
            </w14:solidFill>
          </w14:textFill>
        </w:rPr>
        <w:t xml:space="preserve">  </w:t>
      </w:r>
      <w:r>
        <w:rPr>
          <w:rFonts w:hint="eastAsia" w:ascii="宋体" w:hAnsi="宋体" w:cs="宋体"/>
          <w:b/>
          <w:bCs/>
          <w:color w:val="0D0D0D" w:themeColor="text1" w:themeTint="F2"/>
          <w:kern w:val="0"/>
          <w:sz w:val="24"/>
          <w:szCs w:val="24"/>
          <w:highlight w:val="none"/>
          <w:u w:val="single"/>
          <w:lang w:val="en-US" w:eastAsia="zh-CN"/>
          <w14:textFill>
            <w14:solidFill>
              <w14:schemeClr w14:val="tx1">
                <w14:lumMod w14:val="95000"/>
                <w14:lumOff w14:val="5000"/>
              </w14:schemeClr>
            </w14:solidFill>
          </w14:textFill>
        </w:rPr>
        <w:t>30</w:t>
      </w:r>
      <w:r>
        <w:rPr>
          <w:rFonts w:hint="eastAsia" w:ascii="宋体" w:hAnsi="宋体" w:eastAsia="宋体" w:cs="宋体"/>
          <w:b/>
          <w:bCs/>
          <w:color w:val="0D0D0D" w:themeColor="text1" w:themeTint="F2"/>
          <w:kern w:val="0"/>
          <w:sz w:val="24"/>
          <w:szCs w:val="24"/>
          <w:highlight w:val="none"/>
          <w:u w:val="single"/>
          <w14:textFill>
            <w14:solidFill>
              <w14:schemeClr w14:val="tx1">
                <w14:lumMod w14:val="95000"/>
                <w14:lumOff w14:val="5000"/>
              </w14:schemeClr>
            </w14:solidFill>
          </w14:textFill>
        </w:rPr>
        <w:t xml:space="preserve"> </w:t>
      </w:r>
      <w:r>
        <w:rPr>
          <w:rFonts w:hint="eastAsia" w:ascii="宋体" w:hAnsi="宋体" w:eastAsia="宋体" w:cs="宋体"/>
          <w:b/>
          <w:bCs/>
          <w:color w:val="0D0D0D" w:themeColor="text1" w:themeTint="F2"/>
          <w:kern w:val="0"/>
          <w:sz w:val="24"/>
          <w:szCs w:val="24"/>
          <w:highlight w:val="none"/>
          <w14:textFill>
            <w14:solidFill>
              <w14:schemeClr w14:val="tx1">
                <w14:lumMod w14:val="95000"/>
                <w14:lumOff w14:val="5000"/>
              </w14:schemeClr>
            </w14:solidFill>
          </w14:textFill>
        </w:rPr>
        <w:t>分</w:t>
      </w:r>
      <w:r>
        <w:rPr>
          <w:rFonts w:hint="eastAsia" w:ascii="宋体" w:hAnsi="宋体" w:eastAsia="宋体" w:cs="宋体"/>
          <w:color w:val="0D0D0D" w:themeColor="text1" w:themeTint="F2"/>
          <w:kern w:val="0"/>
          <w:sz w:val="24"/>
          <w:szCs w:val="24"/>
          <w:highlight w:val="none"/>
          <w14:textFill>
            <w14:solidFill>
              <w14:schemeClr w14:val="tx1">
                <w14:lumMod w14:val="95000"/>
                <w14:lumOff w14:val="5000"/>
              </w14:schemeClr>
            </w14:solidFill>
          </w14:textFill>
        </w:rPr>
        <w:t>前，逾期送达的投标文件将被拒绝。</w:t>
      </w:r>
    </w:p>
    <w:p w14:paraId="21CF3634">
      <w:pPr>
        <w:pStyle w:val="56"/>
        <w:keepNext w:val="0"/>
        <w:keepLines w:val="0"/>
        <w:pageBreakBefore w:val="0"/>
        <w:widowControl/>
        <w:wordWrap/>
        <w:overflowPunct/>
        <w:topLinePunct w:val="0"/>
        <w:bidi w:val="0"/>
        <w:spacing w:line="385" w:lineRule="exact"/>
        <w:jc w:val="left"/>
        <w:rPr>
          <w:rFonts w:hint="eastAsia" w:ascii="宋体" w:hAnsi="宋体" w:eastAsia="宋体" w:cs="宋体"/>
          <w:color w:val="0D0D0D" w:themeColor="text1" w:themeTint="F2"/>
          <w:kern w:val="0"/>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0"/>
          <w:sz w:val="24"/>
          <w:szCs w:val="24"/>
          <w:highlight w:val="none"/>
          <w14:textFill>
            <w14:solidFill>
              <w14:schemeClr w14:val="tx1">
                <w14:lumMod w14:val="95000"/>
                <w14:lumOff w14:val="5000"/>
              </w14:schemeClr>
            </w14:solidFill>
          </w14:textFill>
        </w:rPr>
        <w:t>2</w:t>
      </w:r>
      <w:r>
        <w:rPr>
          <w:rFonts w:hint="eastAsia" w:ascii="宋体" w:hAnsi="宋体" w:eastAsia="宋体" w:cs="宋体"/>
          <w:color w:val="0D0D0D" w:themeColor="text1" w:themeTint="F2"/>
          <w:kern w:val="0"/>
          <w:sz w:val="24"/>
          <w:szCs w:val="24"/>
          <w:highlight w:val="none"/>
          <w:lang w:val="en-US" w:eastAsia="zh-CN"/>
          <w14:textFill>
            <w14:solidFill>
              <w14:schemeClr w14:val="tx1">
                <w14:lumMod w14:val="95000"/>
                <w14:lumOff w14:val="5000"/>
              </w14:schemeClr>
            </w14:solidFill>
          </w14:textFill>
        </w:rPr>
        <w:t>.</w:t>
      </w:r>
      <w:r>
        <w:rPr>
          <w:rFonts w:hint="eastAsia" w:ascii="宋体" w:hAnsi="宋体" w:eastAsia="宋体" w:cs="宋体"/>
          <w:color w:val="0D0D0D" w:themeColor="text1" w:themeTint="F2"/>
          <w:kern w:val="0"/>
          <w:sz w:val="24"/>
          <w:szCs w:val="24"/>
          <w:highlight w:val="none"/>
          <w14:textFill>
            <w14:solidFill>
              <w14:schemeClr w14:val="tx1">
                <w14:lumMod w14:val="95000"/>
                <w14:lumOff w14:val="5000"/>
              </w14:schemeClr>
            </w14:solidFill>
          </w14:textFill>
        </w:rPr>
        <w:t>投标文件递交地点：</w:t>
      </w:r>
      <w:r>
        <w:rPr>
          <w:rFonts w:hint="eastAsia" w:ascii="宋体" w:hAnsi="宋体" w:eastAsia="宋体" w:cs="宋体"/>
          <w:b/>
          <w:color w:val="0D0D0D" w:themeColor="text1" w:themeTint="F2"/>
          <w:kern w:val="0"/>
          <w:sz w:val="24"/>
          <w:szCs w:val="24"/>
          <w:highlight w:val="none"/>
          <w14:textFill>
            <w14:solidFill>
              <w14:schemeClr w14:val="tx1">
                <w14:lumMod w14:val="95000"/>
                <w14:lumOff w14:val="5000"/>
              </w14:schemeClr>
            </w14:solidFill>
          </w14:textFill>
        </w:rPr>
        <w:t>南</w:t>
      </w:r>
      <w:r>
        <w:rPr>
          <w:rFonts w:hint="eastAsia" w:ascii="宋体" w:hAnsi="宋体" w:eastAsia="宋体" w:cs="宋体"/>
          <w:b/>
          <w:bCs/>
          <w:color w:val="0D0D0D" w:themeColor="text1" w:themeTint="F2"/>
          <w:kern w:val="0"/>
          <w:sz w:val="24"/>
          <w:szCs w:val="24"/>
          <w:highlight w:val="none"/>
          <w14:textFill>
            <w14:solidFill>
              <w14:schemeClr w14:val="tx1">
                <w14:lumMod w14:val="95000"/>
                <w14:lumOff w14:val="5000"/>
              </w14:schemeClr>
            </w14:solidFill>
          </w14:textFill>
        </w:rPr>
        <w:t>通市通州区江海圆融汇1号楼16楼1610开标室</w:t>
      </w:r>
      <w:r>
        <w:rPr>
          <w:rFonts w:hint="eastAsia" w:ascii="宋体" w:hAnsi="宋体" w:eastAsia="宋体" w:cs="宋体"/>
          <w:color w:val="0D0D0D" w:themeColor="text1" w:themeTint="F2"/>
          <w:kern w:val="0"/>
          <w:sz w:val="24"/>
          <w:szCs w:val="24"/>
          <w:highlight w:val="none"/>
          <w14:textFill>
            <w14:solidFill>
              <w14:schemeClr w14:val="tx1">
                <w14:lumMod w14:val="95000"/>
                <w14:lumOff w14:val="5000"/>
              </w14:schemeClr>
            </w14:solidFill>
          </w14:textFill>
        </w:rPr>
        <w:t>，投标文件递交的具体要求详见招标文件规定。</w:t>
      </w:r>
    </w:p>
    <w:p w14:paraId="1EF900FE">
      <w:pPr>
        <w:pStyle w:val="56"/>
        <w:keepNext w:val="0"/>
        <w:keepLines w:val="0"/>
        <w:pageBreakBefore w:val="0"/>
        <w:widowControl/>
        <w:wordWrap/>
        <w:overflowPunct/>
        <w:topLinePunct w:val="0"/>
        <w:bidi w:val="0"/>
        <w:spacing w:line="385" w:lineRule="exact"/>
        <w:jc w:val="left"/>
        <w:rPr>
          <w:rFonts w:hint="eastAsia" w:ascii="宋体" w:hAnsi="宋体" w:eastAsia="宋体" w:cs="宋体"/>
          <w:color w:val="0D0D0D" w:themeColor="text1" w:themeTint="F2"/>
          <w:kern w:val="0"/>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0"/>
          <w:sz w:val="24"/>
          <w:szCs w:val="24"/>
          <w:highlight w:val="none"/>
          <w14:textFill>
            <w14:solidFill>
              <w14:schemeClr w14:val="tx1">
                <w14:lumMod w14:val="95000"/>
                <w14:lumOff w14:val="5000"/>
              </w14:schemeClr>
            </w14:solidFill>
          </w14:textFill>
        </w:rPr>
        <w:t>3</w:t>
      </w:r>
      <w:r>
        <w:rPr>
          <w:rFonts w:hint="eastAsia" w:ascii="宋体" w:hAnsi="宋体" w:eastAsia="宋体" w:cs="宋体"/>
          <w:color w:val="0D0D0D" w:themeColor="text1" w:themeTint="F2"/>
          <w:kern w:val="0"/>
          <w:sz w:val="24"/>
          <w:szCs w:val="24"/>
          <w:highlight w:val="none"/>
          <w:lang w:val="en-US" w:eastAsia="zh-CN"/>
          <w14:textFill>
            <w14:solidFill>
              <w14:schemeClr w14:val="tx1">
                <w14:lumMod w14:val="95000"/>
                <w14:lumOff w14:val="5000"/>
              </w14:schemeClr>
            </w14:solidFill>
          </w14:textFill>
        </w:rPr>
        <w:t>.</w:t>
      </w:r>
      <w:r>
        <w:rPr>
          <w:rFonts w:hint="eastAsia" w:ascii="宋体" w:hAnsi="宋体" w:eastAsia="宋体" w:cs="宋体"/>
          <w:color w:val="0D0D0D" w:themeColor="text1" w:themeTint="F2"/>
          <w:kern w:val="0"/>
          <w:sz w:val="24"/>
          <w:szCs w:val="24"/>
          <w:highlight w:val="none"/>
          <w14:textFill>
            <w14:solidFill>
              <w14:schemeClr w14:val="tx1">
                <w14:lumMod w14:val="95000"/>
                <w14:lumOff w14:val="5000"/>
              </w14:schemeClr>
            </w14:solidFill>
          </w14:textFill>
        </w:rPr>
        <w:t>逾期送达的或者未送达指定地点的投标文件，招标人不予受理。</w:t>
      </w:r>
    </w:p>
    <w:p w14:paraId="6DA11B2B">
      <w:pPr>
        <w:pStyle w:val="56"/>
        <w:keepNext w:val="0"/>
        <w:keepLines w:val="0"/>
        <w:pageBreakBefore w:val="0"/>
        <w:widowControl/>
        <w:wordWrap/>
        <w:overflowPunct/>
        <w:topLinePunct w:val="0"/>
        <w:bidi w:val="0"/>
        <w:spacing w:line="385" w:lineRule="exact"/>
        <w:jc w:val="left"/>
        <w:rPr>
          <w:rFonts w:hint="eastAsia" w:ascii="宋体" w:hAnsi="宋体" w:eastAsia="宋体" w:cs="宋体"/>
          <w:color w:val="0D0D0D" w:themeColor="text1" w:themeTint="F2"/>
          <w:kern w:val="0"/>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0"/>
          <w:sz w:val="24"/>
          <w:szCs w:val="24"/>
          <w:highlight w:val="none"/>
          <w14:textFill>
            <w14:solidFill>
              <w14:schemeClr w14:val="tx1">
                <w14:lumMod w14:val="95000"/>
                <w14:lumOff w14:val="5000"/>
              </w14:schemeClr>
            </w14:solidFill>
          </w14:textFill>
        </w:rPr>
        <w:t>4</w:t>
      </w:r>
      <w:r>
        <w:rPr>
          <w:rFonts w:hint="eastAsia" w:ascii="宋体" w:hAnsi="宋体" w:eastAsia="宋体" w:cs="宋体"/>
          <w:color w:val="0D0D0D" w:themeColor="text1" w:themeTint="F2"/>
          <w:kern w:val="0"/>
          <w:sz w:val="24"/>
          <w:szCs w:val="24"/>
          <w:highlight w:val="none"/>
          <w:lang w:val="en-US" w:eastAsia="zh-CN"/>
          <w14:textFill>
            <w14:solidFill>
              <w14:schemeClr w14:val="tx1">
                <w14:lumMod w14:val="95000"/>
                <w14:lumOff w14:val="5000"/>
              </w14:schemeClr>
            </w14:solidFill>
          </w14:textFill>
        </w:rPr>
        <w:t>.</w:t>
      </w:r>
      <w:r>
        <w:rPr>
          <w:rFonts w:hint="eastAsia" w:ascii="宋体" w:hAnsi="宋体" w:eastAsia="宋体" w:cs="宋体"/>
          <w:color w:val="0D0D0D" w:themeColor="text1" w:themeTint="F2"/>
          <w:kern w:val="0"/>
          <w:sz w:val="24"/>
          <w:szCs w:val="24"/>
          <w:highlight w:val="none"/>
          <w14:textFill>
            <w14:solidFill>
              <w14:schemeClr w14:val="tx1">
                <w14:lumMod w14:val="95000"/>
                <w14:lumOff w14:val="5000"/>
              </w14:schemeClr>
            </w14:solidFill>
          </w14:textFill>
        </w:rPr>
        <w:t>网上下载的招标公告、招标文件、招标答疑等招标资料，与纸质资料具有同等法律效力。</w:t>
      </w:r>
    </w:p>
    <w:p w14:paraId="33CF2A0C">
      <w:pPr>
        <w:keepNext w:val="0"/>
        <w:keepLines w:val="0"/>
        <w:pageBreakBefore w:val="0"/>
        <w:widowControl/>
        <w:kinsoku/>
        <w:wordWrap/>
        <w:overflowPunct/>
        <w:topLinePunct w:val="0"/>
        <w:autoSpaceDE/>
        <w:autoSpaceDN/>
        <w:bidi w:val="0"/>
        <w:adjustRightInd/>
        <w:snapToGrid/>
        <w:spacing w:before="157" w:beforeLines="50" w:line="385" w:lineRule="exact"/>
        <w:ind w:firstLine="482" w:firstLineChars="200"/>
        <w:jc w:val="left"/>
        <w:textAlignment w:val="auto"/>
        <w:rPr>
          <w:rFonts w:hint="eastAsia" w:ascii="宋体" w:hAnsi="宋体" w:eastAsia="宋体" w:cs="宋体"/>
          <w:color w:val="0D0D0D" w:themeColor="text1" w:themeTint="F2"/>
          <w:kern w:val="0"/>
          <w:sz w:val="24"/>
          <w:szCs w:val="24"/>
          <w:highlight w:val="none"/>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0"/>
          <w:sz w:val="24"/>
          <w:szCs w:val="24"/>
          <w:highlight w:val="none"/>
          <w:lang w:val="en-US" w:eastAsia="zh-CN"/>
          <w14:textFill>
            <w14:solidFill>
              <w14:schemeClr w14:val="tx1">
                <w14:lumMod w14:val="95000"/>
                <w14:lumOff w14:val="5000"/>
              </w14:schemeClr>
            </w14:solidFill>
          </w14:textFill>
        </w:rPr>
        <w:t>七</w:t>
      </w:r>
      <w:r>
        <w:rPr>
          <w:rFonts w:hint="eastAsia" w:ascii="宋体" w:hAnsi="宋体" w:eastAsia="宋体" w:cs="宋体"/>
          <w:b/>
          <w:bCs/>
          <w:color w:val="0D0D0D" w:themeColor="text1" w:themeTint="F2"/>
          <w:kern w:val="0"/>
          <w:sz w:val="24"/>
          <w:szCs w:val="24"/>
          <w:highlight w:val="none"/>
          <w14:textFill>
            <w14:solidFill>
              <w14:schemeClr w14:val="tx1">
                <w14:lumMod w14:val="95000"/>
                <w14:lumOff w14:val="5000"/>
              </w14:schemeClr>
            </w14:solidFill>
          </w14:textFill>
        </w:rPr>
        <w:t>、本项目的评标办法：</w:t>
      </w:r>
      <w:r>
        <w:rPr>
          <w:rFonts w:hint="eastAsia" w:ascii="宋体" w:hAnsi="宋体" w:eastAsia="宋体" w:cs="宋体"/>
          <w:sz w:val="24"/>
          <w:szCs w:val="24"/>
          <w:highlight w:val="none"/>
        </w:rPr>
        <w:t>最低</w:t>
      </w:r>
      <w:r>
        <w:rPr>
          <w:rFonts w:hint="eastAsia" w:ascii="宋体" w:hAnsi="宋体" w:cs="宋体"/>
          <w:sz w:val="24"/>
          <w:szCs w:val="24"/>
          <w:highlight w:val="none"/>
          <w:lang w:eastAsia="zh-CN"/>
        </w:rPr>
        <w:t>评</w:t>
      </w:r>
      <w:r>
        <w:rPr>
          <w:rFonts w:hint="eastAsia" w:ascii="宋体" w:hAnsi="宋体" w:eastAsia="宋体" w:cs="宋体"/>
          <w:sz w:val="24"/>
          <w:szCs w:val="24"/>
          <w:highlight w:val="none"/>
        </w:rPr>
        <w:t>标价法</w:t>
      </w:r>
      <w:r>
        <w:rPr>
          <w:rFonts w:hint="eastAsia" w:ascii="宋体" w:hAnsi="宋体" w:eastAsia="宋体" w:cs="宋体"/>
          <w:bCs/>
          <w:color w:val="0D0D0D" w:themeColor="text1" w:themeTint="F2"/>
          <w:kern w:val="0"/>
          <w:sz w:val="24"/>
          <w:szCs w:val="24"/>
          <w:highlight w:val="none"/>
          <w14:textFill>
            <w14:solidFill>
              <w14:schemeClr w14:val="tx1">
                <w14:lumMod w14:val="95000"/>
                <w14:lumOff w14:val="5000"/>
              </w14:schemeClr>
            </w14:solidFill>
          </w14:textFill>
        </w:rPr>
        <w:t>（</w:t>
      </w:r>
      <w:r>
        <w:rPr>
          <w:rFonts w:hint="eastAsia" w:ascii="宋体" w:hAnsi="宋体" w:eastAsia="宋体" w:cs="宋体"/>
          <w:color w:val="0D0D0D" w:themeColor="text1" w:themeTint="F2"/>
          <w:kern w:val="0"/>
          <w:sz w:val="24"/>
          <w:szCs w:val="24"/>
          <w:highlight w:val="none"/>
          <w14:textFill>
            <w14:solidFill>
              <w14:schemeClr w14:val="tx1">
                <w14:lumMod w14:val="95000"/>
                <w14:lumOff w14:val="5000"/>
              </w14:schemeClr>
            </w14:solidFill>
          </w14:textFill>
        </w:rPr>
        <w:t>具体详见招标文件</w:t>
      </w:r>
      <w:r>
        <w:rPr>
          <w:rFonts w:hint="eastAsia" w:ascii="宋体" w:hAnsi="宋体" w:eastAsia="宋体" w:cs="宋体"/>
          <w:bCs/>
          <w:color w:val="0D0D0D" w:themeColor="text1" w:themeTint="F2"/>
          <w:kern w:val="0"/>
          <w:sz w:val="24"/>
          <w:szCs w:val="24"/>
          <w:highlight w:val="none"/>
          <w14:textFill>
            <w14:solidFill>
              <w14:schemeClr w14:val="tx1">
                <w14:lumMod w14:val="95000"/>
                <w14:lumOff w14:val="5000"/>
              </w14:schemeClr>
            </w14:solidFill>
          </w14:textFill>
        </w:rPr>
        <w:t>）</w:t>
      </w:r>
      <w:r>
        <w:rPr>
          <w:rFonts w:hint="eastAsia" w:ascii="宋体" w:hAnsi="宋体" w:eastAsia="宋体" w:cs="宋体"/>
          <w:color w:val="0D0D0D" w:themeColor="text1" w:themeTint="F2"/>
          <w:kern w:val="0"/>
          <w:sz w:val="24"/>
          <w:szCs w:val="24"/>
          <w:highlight w:val="none"/>
          <w14:textFill>
            <w14:solidFill>
              <w14:schemeClr w14:val="tx1">
                <w14:lumMod w14:val="95000"/>
                <w14:lumOff w14:val="5000"/>
              </w14:schemeClr>
            </w14:solidFill>
          </w14:textFill>
        </w:rPr>
        <w:t>。</w:t>
      </w:r>
    </w:p>
    <w:p w14:paraId="09A45D18">
      <w:pPr>
        <w:keepNext w:val="0"/>
        <w:keepLines w:val="0"/>
        <w:pageBreakBefore w:val="0"/>
        <w:widowControl/>
        <w:kinsoku/>
        <w:wordWrap/>
        <w:overflowPunct/>
        <w:topLinePunct w:val="0"/>
        <w:autoSpaceDE/>
        <w:autoSpaceDN/>
        <w:bidi w:val="0"/>
        <w:adjustRightInd/>
        <w:snapToGrid/>
        <w:spacing w:before="157" w:beforeLines="50" w:line="385" w:lineRule="exact"/>
        <w:ind w:firstLine="482" w:firstLineChars="200"/>
        <w:jc w:val="left"/>
        <w:textAlignment w:val="auto"/>
        <w:rPr>
          <w:rFonts w:hint="eastAsia" w:ascii="宋体" w:hAnsi="宋体" w:eastAsia="宋体" w:cs="宋体"/>
          <w:color w:val="0D0D0D" w:themeColor="text1" w:themeTint="F2"/>
          <w:kern w:val="0"/>
          <w:sz w:val="24"/>
          <w:szCs w:val="24"/>
          <w:highlight w:val="none"/>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0"/>
          <w:sz w:val="24"/>
          <w:szCs w:val="24"/>
          <w:highlight w:val="none"/>
          <w:lang w:val="en-US" w:eastAsia="zh-CN"/>
          <w14:textFill>
            <w14:solidFill>
              <w14:schemeClr w14:val="tx1">
                <w14:lumMod w14:val="95000"/>
                <w14:lumOff w14:val="5000"/>
              </w14:schemeClr>
            </w14:solidFill>
          </w14:textFill>
        </w:rPr>
        <w:t>八</w:t>
      </w:r>
      <w:r>
        <w:rPr>
          <w:rFonts w:hint="eastAsia" w:ascii="宋体" w:hAnsi="宋体" w:eastAsia="宋体" w:cs="宋体"/>
          <w:b/>
          <w:bCs/>
          <w:color w:val="0D0D0D" w:themeColor="text1" w:themeTint="F2"/>
          <w:kern w:val="0"/>
          <w:sz w:val="24"/>
          <w:szCs w:val="24"/>
          <w:highlight w:val="none"/>
          <w14:textFill>
            <w14:solidFill>
              <w14:schemeClr w14:val="tx1">
                <w14:lumMod w14:val="95000"/>
                <w14:lumOff w14:val="5000"/>
              </w14:schemeClr>
            </w14:solidFill>
          </w14:textFill>
        </w:rPr>
        <w:t>、本项目投标保证金：</w:t>
      </w:r>
      <w:r>
        <w:rPr>
          <w:rFonts w:hint="eastAsia" w:ascii="宋体" w:hAnsi="宋体" w:eastAsia="宋体" w:cs="宋体"/>
          <w:color w:val="0D0D0D" w:themeColor="text1" w:themeTint="F2"/>
          <w:kern w:val="0"/>
          <w:sz w:val="24"/>
          <w:szCs w:val="24"/>
          <w:highlight w:val="none"/>
          <w14:textFill>
            <w14:solidFill>
              <w14:schemeClr w14:val="tx1">
                <w14:lumMod w14:val="95000"/>
                <w14:lumOff w14:val="5000"/>
              </w14:schemeClr>
            </w14:solidFill>
          </w14:textFill>
        </w:rPr>
        <w:t>人民币1000元（现金）。</w:t>
      </w:r>
    </w:p>
    <w:p w14:paraId="65B827DD">
      <w:pPr>
        <w:keepNext w:val="0"/>
        <w:keepLines w:val="0"/>
        <w:pageBreakBefore w:val="0"/>
        <w:widowControl/>
        <w:kinsoku/>
        <w:wordWrap/>
        <w:overflowPunct/>
        <w:topLinePunct w:val="0"/>
        <w:autoSpaceDE/>
        <w:autoSpaceDN/>
        <w:bidi w:val="0"/>
        <w:adjustRightInd/>
        <w:snapToGrid/>
        <w:spacing w:before="157" w:beforeLines="50" w:line="385" w:lineRule="exact"/>
        <w:ind w:firstLine="482" w:firstLineChars="200"/>
        <w:jc w:val="left"/>
        <w:textAlignment w:val="auto"/>
        <w:rPr>
          <w:rFonts w:hint="eastAsia" w:ascii="宋体" w:hAnsi="宋体" w:eastAsia="宋体" w:cs="宋体"/>
          <w:b/>
          <w:bCs/>
          <w:color w:val="0D0D0D" w:themeColor="text1" w:themeTint="F2"/>
          <w:kern w:val="0"/>
          <w:sz w:val="24"/>
          <w:szCs w:val="24"/>
          <w:highlight w:val="none"/>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0"/>
          <w:sz w:val="24"/>
          <w:szCs w:val="24"/>
          <w:highlight w:val="none"/>
          <w:lang w:val="en-US" w:eastAsia="zh-CN"/>
          <w14:textFill>
            <w14:solidFill>
              <w14:schemeClr w14:val="tx1">
                <w14:lumMod w14:val="95000"/>
                <w14:lumOff w14:val="5000"/>
              </w14:schemeClr>
            </w14:solidFill>
          </w14:textFill>
        </w:rPr>
        <w:t>九</w:t>
      </w:r>
      <w:r>
        <w:rPr>
          <w:rFonts w:hint="eastAsia" w:ascii="宋体" w:hAnsi="宋体" w:eastAsia="宋体" w:cs="宋体"/>
          <w:b/>
          <w:bCs/>
          <w:color w:val="0D0D0D" w:themeColor="text1" w:themeTint="F2"/>
          <w:kern w:val="0"/>
          <w:sz w:val="24"/>
          <w:szCs w:val="24"/>
          <w:highlight w:val="none"/>
          <w14:textFill>
            <w14:solidFill>
              <w14:schemeClr w14:val="tx1">
                <w14:lumMod w14:val="95000"/>
                <w14:lumOff w14:val="5000"/>
              </w14:schemeClr>
            </w14:solidFill>
          </w14:textFill>
        </w:rPr>
        <w:t>、开标时间为：</w:t>
      </w:r>
      <w:r>
        <w:rPr>
          <w:rFonts w:hint="eastAsia" w:ascii="宋体" w:hAnsi="宋体" w:eastAsia="宋体" w:cs="宋体"/>
          <w:color w:val="000000"/>
          <w:sz w:val="24"/>
          <w:szCs w:val="24"/>
          <w:highlight w:val="none"/>
        </w:rPr>
        <w:t>2025年</w:t>
      </w:r>
      <w:r>
        <w:rPr>
          <w:rFonts w:hint="eastAsia" w:ascii="宋体" w:hAnsi="宋体" w:cs="宋体"/>
          <w:color w:val="000000"/>
          <w:sz w:val="24"/>
          <w:szCs w:val="24"/>
          <w:highlight w:val="none"/>
          <w:lang w:val="en-US" w:eastAsia="zh-CN"/>
        </w:rPr>
        <w:t>7</w:t>
      </w:r>
      <w:r>
        <w:rPr>
          <w:rFonts w:hint="eastAsia" w:ascii="宋体" w:hAnsi="宋体" w:eastAsia="宋体" w:cs="宋体"/>
          <w:color w:val="000000"/>
          <w:sz w:val="24"/>
          <w:szCs w:val="24"/>
          <w:highlight w:val="none"/>
        </w:rPr>
        <w:t>月</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7</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日</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9</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时</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30</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分</w:t>
      </w:r>
      <w:r>
        <w:rPr>
          <w:rFonts w:hint="eastAsia" w:ascii="宋体" w:hAnsi="宋体" w:eastAsia="宋体" w:cs="宋体"/>
          <w:bCs/>
          <w:color w:val="0D0D0D" w:themeColor="text1" w:themeTint="F2"/>
          <w:kern w:val="0"/>
          <w:sz w:val="24"/>
          <w:szCs w:val="24"/>
          <w:highlight w:val="none"/>
          <w14:textFill>
            <w14:solidFill>
              <w14:schemeClr w14:val="tx1">
                <w14:lumMod w14:val="95000"/>
                <w14:lumOff w14:val="5000"/>
              </w14:schemeClr>
            </w14:solidFill>
          </w14:textFill>
        </w:rPr>
        <w:t>。</w:t>
      </w:r>
    </w:p>
    <w:p w14:paraId="5799A665">
      <w:pPr>
        <w:keepNext w:val="0"/>
        <w:keepLines w:val="0"/>
        <w:pageBreakBefore w:val="0"/>
        <w:widowControl/>
        <w:kinsoku/>
        <w:wordWrap/>
        <w:overflowPunct/>
        <w:topLinePunct w:val="0"/>
        <w:autoSpaceDE/>
        <w:autoSpaceDN/>
        <w:bidi w:val="0"/>
        <w:adjustRightInd/>
        <w:snapToGrid/>
        <w:spacing w:before="157" w:beforeLines="50" w:line="385" w:lineRule="exact"/>
        <w:ind w:firstLine="482" w:firstLineChars="200"/>
        <w:jc w:val="left"/>
        <w:textAlignment w:val="auto"/>
        <w:rPr>
          <w:rFonts w:hint="eastAsia" w:ascii="宋体" w:hAnsi="宋体" w:eastAsia="宋体" w:cs="宋体"/>
          <w:bCs/>
          <w:color w:val="0D0D0D" w:themeColor="text1" w:themeTint="F2"/>
          <w:kern w:val="0"/>
          <w:sz w:val="24"/>
          <w:szCs w:val="24"/>
          <w:highlight w:val="none"/>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0"/>
          <w:sz w:val="24"/>
          <w:szCs w:val="24"/>
          <w:highlight w:val="none"/>
          <w14:textFill>
            <w14:solidFill>
              <w14:schemeClr w14:val="tx1">
                <w14:lumMod w14:val="95000"/>
                <w14:lumOff w14:val="5000"/>
              </w14:schemeClr>
            </w14:solidFill>
          </w14:textFill>
        </w:rPr>
        <w:t>十、本公告发布时间：</w:t>
      </w:r>
      <w:r>
        <w:rPr>
          <w:rFonts w:hint="eastAsia" w:ascii="宋体" w:hAnsi="宋体" w:eastAsia="宋体" w:cs="宋体"/>
          <w:bCs/>
          <w:color w:val="0D0D0D" w:themeColor="text1" w:themeTint="F2"/>
          <w:kern w:val="0"/>
          <w:sz w:val="24"/>
          <w:szCs w:val="24"/>
          <w:highlight w:val="none"/>
          <w14:textFill>
            <w14:solidFill>
              <w14:schemeClr w14:val="tx1">
                <w14:lumMod w14:val="95000"/>
                <w14:lumOff w14:val="5000"/>
              </w14:schemeClr>
            </w14:solidFill>
          </w14:textFill>
        </w:rPr>
        <w:t>2025年</w:t>
      </w:r>
      <w:r>
        <w:rPr>
          <w:rFonts w:hint="eastAsia" w:ascii="宋体" w:hAnsi="宋体" w:cs="宋体"/>
          <w:bCs/>
          <w:color w:val="0D0D0D" w:themeColor="text1" w:themeTint="F2"/>
          <w:kern w:val="0"/>
          <w:sz w:val="24"/>
          <w:szCs w:val="24"/>
          <w:highlight w:val="none"/>
          <w:lang w:val="en-US" w:eastAsia="zh-CN"/>
          <w14:textFill>
            <w14:solidFill>
              <w14:schemeClr w14:val="tx1">
                <w14:lumMod w14:val="95000"/>
                <w14:lumOff w14:val="5000"/>
              </w14:schemeClr>
            </w14:solidFill>
          </w14:textFill>
        </w:rPr>
        <w:t>6</w:t>
      </w:r>
      <w:r>
        <w:rPr>
          <w:rFonts w:hint="eastAsia" w:ascii="宋体" w:hAnsi="宋体" w:eastAsia="宋体" w:cs="宋体"/>
          <w:bCs/>
          <w:color w:val="0D0D0D" w:themeColor="text1" w:themeTint="F2"/>
          <w:kern w:val="0"/>
          <w:sz w:val="24"/>
          <w:szCs w:val="24"/>
          <w:highlight w:val="none"/>
          <w14:textFill>
            <w14:solidFill>
              <w14:schemeClr w14:val="tx1">
                <w14:lumMod w14:val="95000"/>
                <w14:lumOff w14:val="5000"/>
              </w14:schemeClr>
            </w14:solidFill>
          </w14:textFill>
        </w:rPr>
        <w:t>月</w:t>
      </w:r>
      <w:r>
        <w:rPr>
          <w:rFonts w:hint="eastAsia" w:ascii="宋体" w:hAnsi="宋体" w:eastAsia="宋体" w:cs="宋体"/>
          <w:bCs/>
          <w:color w:val="0D0D0D" w:themeColor="text1" w:themeTint="F2"/>
          <w:kern w:val="0"/>
          <w:sz w:val="24"/>
          <w:szCs w:val="24"/>
          <w:highlight w:val="none"/>
          <w:u w:val="single"/>
          <w14:textFill>
            <w14:solidFill>
              <w14:schemeClr w14:val="tx1">
                <w14:lumMod w14:val="95000"/>
                <w14:lumOff w14:val="5000"/>
              </w14:schemeClr>
            </w14:solidFill>
          </w14:textFill>
        </w:rPr>
        <w:t xml:space="preserve"> </w:t>
      </w:r>
      <w:r>
        <w:rPr>
          <w:rFonts w:hint="eastAsia" w:ascii="宋体" w:hAnsi="宋体" w:cs="宋体"/>
          <w:bCs/>
          <w:color w:val="0D0D0D" w:themeColor="text1" w:themeTint="F2"/>
          <w:kern w:val="0"/>
          <w:sz w:val="24"/>
          <w:szCs w:val="24"/>
          <w:highlight w:val="none"/>
          <w:u w:val="single"/>
          <w:lang w:val="en-US" w:eastAsia="zh-CN"/>
          <w14:textFill>
            <w14:solidFill>
              <w14:schemeClr w14:val="tx1">
                <w14:lumMod w14:val="95000"/>
                <w14:lumOff w14:val="5000"/>
              </w14:schemeClr>
            </w14:solidFill>
          </w14:textFill>
        </w:rPr>
        <w:t>26</w:t>
      </w:r>
      <w:r>
        <w:rPr>
          <w:rFonts w:hint="eastAsia" w:ascii="宋体" w:hAnsi="宋体" w:eastAsia="宋体" w:cs="宋体"/>
          <w:bCs/>
          <w:color w:val="0D0D0D" w:themeColor="text1" w:themeTint="F2"/>
          <w:kern w:val="0"/>
          <w:sz w:val="24"/>
          <w:szCs w:val="24"/>
          <w:highlight w:val="none"/>
          <w:u w:val="single"/>
          <w14:textFill>
            <w14:solidFill>
              <w14:schemeClr w14:val="tx1">
                <w14:lumMod w14:val="95000"/>
                <w14:lumOff w14:val="5000"/>
              </w14:schemeClr>
            </w14:solidFill>
          </w14:textFill>
        </w:rPr>
        <w:t xml:space="preserve">  </w:t>
      </w:r>
      <w:r>
        <w:rPr>
          <w:rFonts w:hint="eastAsia" w:ascii="宋体" w:hAnsi="宋体" w:eastAsia="宋体" w:cs="宋体"/>
          <w:bCs/>
          <w:color w:val="0D0D0D" w:themeColor="text1" w:themeTint="F2"/>
          <w:kern w:val="0"/>
          <w:sz w:val="24"/>
          <w:szCs w:val="24"/>
          <w:highlight w:val="none"/>
          <w14:textFill>
            <w14:solidFill>
              <w14:schemeClr w14:val="tx1">
                <w14:lumMod w14:val="95000"/>
                <w14:lumOff w14:val="5000"/>
              </w14:schemeClr>
            </w14:solidFill>
          </w14:textFill>
        </w:rPr>
        <w:t>日—2025年</w:t>
      </w:r>
      <w:r>
        <w:rPr>
          <w:rFonts w:hint="eastAsia" w:ascii="宋体" w:hAnsi="宋体" w:cs="宋体"/>
          <w:bCs/>
          <w:color w:val="0D0D0D" w:themeColor="text1" w:themeTint="F2"/>
          <w:kern w:val="0"/>
          <w:sz w:val="24"/>
          <w:szCs w:val="24"/>
          <w:highlight w:val="none"/>
          <w:lang w:val="en-US" w:eastAsia="zh-CN"/>
          <w14:textFill>
            <w14:solidFill>
              <w14:schemeClr w14:val="tx1">
                <w14:lumMod w14:val="95000"/>
                <w14:lumOff w14:val="5000"/>
              </w14:schemeClr>
            </w14:solidFill>
          </w14:textFill>
        </w:rPr>
        <w:t>7</w:t>
      </w:r>
      <w:r>
        <w:rPr>
          <w:rFonts w:hint="eastAsia" w:ascii="宋体" w:hAnsi="宋体" w:eastAsia="宋体" w:cs="宋体"/>
          <w:bCs/>
          <w:color w:val="0D0D0D" w:themeColor="text1" w:themeTint="F2"/>
          <w:kern w:val="0"/>
          <w:sz w:val="24"/>
          <w:szCs w:val="24"/>
          <w:highlight w:val="none"/>
          <w14:textFill>
            <w14:solidFill>
              <w14:schemeClr w14:val="tx1">
                <w14:lumMod w14:val="95000"/>
                <w14:lumOff w14:val="5000"/>
              </w14:schemeClr>
            </w14:solidFill>
          </w14:textFill>
        </w:rPr>
        <w:t>月</w:t>
      </w:r>
      <w:r>
        <w:rPr>
          <w:rFonts w:hint="eastAsia" w:ascii="宋体" w:hAnsi="宋体" w:eastAsia="宋体" w:cs="宋体"/>
          <w:bCs/>
          <w:color w:val="0D0D0D" w:themeColor="text1" w:themeTint="F2"/>
          <w:kern w:val="0"/>
          <w:sz w:val="24"/>
          <w:szCs w:val="24"/>
          <w:highlight w:val="none"/>
          <w:u w:val="single"/>
          <w14:textFill>
            <w14:solidFill>
              <w14:schemeClr w14:val="tx1">
                <w14:lumMod w14:val="95000"/>
                <w14:lumOff w14:val="5000"/>
              </w14:schemeClr>
            </w14:solidFill>
          </w14:textFill>
        </w:rPr>
        <w:t xml:space="preserve"> </w:t>
      </w:r>
      <w:r>
        <w:rPr>
          <w:rFonts w:hint="eastAsia" w:ascii="宋体" w:hAnsi="宋体" w:cs="宋体"/>
          <w:bCs/>
          <w:color w:val="0D0D0D" w:themeColor="text1" w:themeTint="F2"/>
          <w:kern w:val="0"/>
          <w:sz w:val="24"/>
          <w:szCs w:val="24"/>
          <w:highlight w:val="none"/>
          <w:u w:val="single"/>
          <w:lang w:val="en-US" w:eastAsia="zh-CN"/>
          <w14:textFill>
            <w14:solidFill>
              <w14:schemeClr w14:val="tx1">
                <w14:lumMod w14:val="95000"/>
                <w14:lumOff w14:val="5000"/>
              </w14:schemeClr>
            </w14:solidFill>
          </w14:textFill>
        </w:rPr>
        <w:t>7</w:t>
      </w:r>
      <w:r>
        <w:rPr>
          <w:rFonts w:hint="eastAsia" w:ascii="宋体" w:hAnsi="宋体" w:eastAsia="宋体" w:cs="宋体"/>
          <w:bCs/>
          <w:color w:val="0D0D0D" w:themeColor="text1" w:themeTint="F2"/>
          <w:kern w:val="0"/>
          <w:sz w:val="24"/>
          <w:szCs w:val="24"/>
          <w:highlight w:val="none"/>
          <w:u w:val="single"/>
          <w14:textFill>
            <w14:solidFill>
              <w14:schemeClr w14:val="tx1">
                <w14:lumMod w14:val="95000"/>
                <w14:lumOff w14:val="5000"/>
              </w14:schemeClr>
            </w14:solidFill>
          </w14:textFill>
        </w:rPr>
        <w:t xml:space="preserve"> </w:t>
      </w:r>
      <w:r>
        <w:rPr>
          <w:rFonts w:hint="eastAsia" w:ascii="宋体" w:hAnsi="宋体" w:eastAsia="宋体" w:cs="宋体"/>
          <w:bCs/>
          <w:color w:val="0D0D0D" w:themeColor="text1" w:themeTint="F2"/>
          <w:kern w:val="0"/>
          <w:sz w:val="24"/>
          <w:szCs w:val="24"/>
          <w:highlight w:val="none"/>
          <w14:textFill>
            <w14:solidFill>
              <w14:schemeClr w14:val="tx1">
                <w14:lumMod w14:val="95000"/>
                <w14:lumOff w14:val="5000"/>
              </w14:schemeClr>
            </w14:solidFill>
          </w14:textFill>
        </w:rPr>
        <w:t>日</w:t>
      </w:r>
      <w:r>
        <w:rPr>
          <w:rFonts w:hint="eastAsia" w:ascii="宋体" w:hAnsi="宋体" w:eastAsia="宋体" w:cs="宋体"/>
          <w:bCs/>
          <w:color w:val="0D0D0D" w:themeColor="text1" w:themeTint="F2"/>
          <w:kern w:val="0"/>
          <w:sz w:val="24"/>
          <w:szCs w:val="24"/>
          <w:highlight w:val="none"/>
          <w:u w:val="single"/>
          <w14:textFill>
            <w14:solidFill>
              <w14:schemeClr w14:val="tx1">
                <w14:lumMod w14:val="95000"/>
                <w14:lumOff w14:val="5000"/>
              </w14:schemeClr>
            </w14:solidFill>
          </w14:textFill>
        </w:rPr>
        <w:t xml:space="preserve">  </w:t>
      </w:r>
      <w:r>
        <w:rPr>
          <w:rFonts w:hint="eastAsia" w:ascii="宋体" w:hAnsi="宋体" w:cs="宋体"/>
          <w:bCs/>
          <w:color w:val="0D0D0D" w:themeColor="text1" w:themeTint="F2"/>
          <w:kern w:val="0"/>
          <w:sz w:val="24"/>
          <w:szCs w:val="24"/>
          <w:highlight w:val="none"/>
          <w:u w:val="single"/>
          <w:lang w:val="en-US" w:eastAsia="zh-CN"/>
          <w14:textFill>
            <w14:solidFill>
              <w14:schemeClr w14:val="tx1">
                <w14:lumMod w14:val="95000"/>
                <w14:lumOff w14:val="5000"/>
              </w14:schemeClr>
            </w14:solidFill>
          </w14:textFill>
        </w:rPr>
        <w:t>9</w:t>
      </w:r>
      <w:r>
        <w:rPr>
          <w:rFonts w:hint="eastAsia" w:ascii="宋体" w:hAnsi="宋体" w:eastAsia="宋体" w:cs="宋体"/>
          <w:bCs/>
          <w:color w:val="0D0D0D" w:themeColor="text1" w:themeTint="F2"/>
          <w:kern w:val="0"/>
          <w:sz w:val="24"/>
          <w:szCs w:val="24"/>
          <w:highlight w:val="none"/>
          <w:u w:val="single"/>
          <w14:textFill>
            <w14:solidFill>
              <w14:schemeClr w14:val="tx1">
                <w14:lumMod w14:val="95000"/>
                <w14:lumOff w14:val="5000"/>
              </w14:schemeClr>
            </w14:solidFill>
          </w14:textFill>
        </w:rPr>
        <w:t xml:space="preserve"> </w:t>
      </w:r>
      <w:r>
        <w:rPr>
          <w:rFonts w:hint="eastAsia" w:ascii="宋体" w:hAnsi="宋体" w:eastAsia="宋体" w:cs="宋体"/>
          <w:bCs/>
          <w:color w:val="0D0D0D" w:themeColor="text1" w:themeTint="F2"/>
          <w:kern w:val="0"/>
          <w:sz w:val="24"/>
          <w:szCs w:val="24"/>
          <w:highlight w:val="none"/>
          <w14:textFill>
            <w14:solidFill>
              <w14:schemeClr w14:val="tx1">
                <w14:lumMod w14:val="95000"/>
                <w14:lumOff w14:val="5000"/>
              </w14:schemeClr>
            </w14:solidFill>
          </w14:textFill>
        </w:rPr>
        <w:t>时</w:t>
      </w:r>
      <w:r>
        <w:rPr>
          <w:rFonts w:hint="eastAsia" w:ascii="宋体" w:hAnsi="宋体" w:eastAsia="宋体" w:cs="宋体"/>
          <w:bCs/>
          <w:color w:val="0D0D0D" w:themeColor="text1" w:themeTint="F2"/>
          <w:kern w:val="0"/>
          <w:sz w:val="24"/>
          <w:szCs w:val="24"/>
          <w:highlight w:val="none"/>
          <w:u w:val="single"/>
          <w14:textFill>
            <w14:solidFill>
              <w14:schemeClr w14:val="tx1">
                <w14:lumMod w14:val="95000"/>
                <w14:lumOff w14:val="5000"/>
              </w14:schemeClr>
            </w14:solidFill>
          </w14:textFill>
        </w:rPr>
        <w:t xml:space="preserve">  </w:t>
      </w:r>
      <w:r>
        <w:rPr>
          <w:rFonts w:hint="eastAsia" w:ascii="宋体" w:hAnsi="宋体" w:cs="宋体"/>
          <w:bCs/>
          <w:color w:val="0D0D0D" w:themeColor="text1" w:themeTint="F2"/>
          <w:kern w:val="0"/>
          <w:sz w:val="24"/>
          <w:szCs w:val="24"/>
          <w:highlight w:val="none"/>
          <w:u w:val="single"/>
          <w:lang w:val="en-US" w:eastAsia="zh-CN"/>
          <w14:textFill>
            <w14:solidFill>
              <w14:schemeClr w14:val="tx1">
                <w14:lumMod w14:val="95000"/>
                <w14:lumOff w14:val="5000"/>
              </w14:schemeClr>
            </w14:solidFill>
          </w14:textFill>
        </w:rPr>
        <w:t>30</w:t>
      </w:r>
      <w:r>
        <w:rPr>
          <w:rFonts w:hint="eastAsia" w:ascii="宋体" w:hAnsi="宋体" w:eastAsia="宋体" w:cs="宋体"/>
          <w:bCs/>
          <w:color w:val="0D0D0D" w:themeColor="text1" w:themeTint="F2"/>
          <w:kern w:val="0"/>
          <w:sz w:val="24"/>
          <w:szCs w:val="24"/>
          <w:highlight w:val="none"/>
          <w:u w:val="single"/>
          <w14:textFill>
            <w14:solidFill>
              <w14:schemeClr w14:val="tx1">
                <w14:lumMod w14:val="95000"/>
                <w14:lumOff w14:val="5000"/>
              </w14:schemeClr>
            </w14:solidFill>
          </w14:textFill>
        </w:rPr>
        <w:t xml:space="preserve">  </w:t>
      </w:r>
      <w:r>
        <w:rPr>
          <w:rFonts w:hint="eastAsia" w:ascii="宋体" w:hAnsi="宋体" w:eastAsia="宋体" w:cs="宋体"/>
          <w:bCs/>
          <w:color w:val="0D0D0D" w:themeColor="text1" w:themeTint="F2"/>
          <w:kern w:val="0"/>
          <w:sz w:val="24"/>
          <w:szCs w:val="24"/>
          <w:highlight w:val="none"/>
          <w14:textFill>
            <w14:solidFill>
              <w14:schemeClr w14:val="tx1">
                <w14:lumMod w14:val="95000"/>
                <w14:lumOff w14:val="5000"/>
              </w14:schemeClr>
            </w14:solidFill>
          </w14:textFill>
        </w:rPr>
        <w:t>分。</w:t>
      </w:r>
    </w:p>
    <w:p w14:paraId="68E329B9">
      <w:pPr>
        <w:keepNext w:val="0"/>
        <w:keepLines w:val="0"/>
        <w:pageBreakBefore w:val="0"/>
        <w:widowControl/>
        <w:kinsoku/>
        <w:wordWrap/>
        <w:overflowPunct/>
        <w:topLinePunct w:val="0"/>
        <w:autoSpaceDE/>
        <w:autoSpaceDN/>
        <w:bidi w:val="0"/>
        <w:adjustRightInd/>
        <w:snapToGrid/>
        <w:spacing w:before="157" w:beforeLines="50" w:line="385" w:lineRule="exact"/>
        <w:ind w:firstLine="482" w:firstLineChars="200"/>
        <w:jc w:val="left"/>
        <w:textAlignment w:val="auto"/>
        <w:rPr>
          <w:rFonts w:hint="eastAsia" w:ascii="宋体" w:hAnsi="宋体" w:eastAsia="宋体" w:cs="宋体"/>
          <w:bCs/>
          <w:color w:val="0D0D0D" w:themeColor="text1" w:themeTint="F2"/>
          <w:kern w:val="0"/>
          <w:sz w:val="24"/>
          <w:szCs w:val="24"/>
          <w:highlight w:val="none"/>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0"/>
          <w:sz w:val="24"/>
          <w:szCs w:val="24"/>
          <w:highlight w:val="none"/>
          <w14:textFill>
            <w14:solidFill>
              <w14:schemeClr w14:val="tx1">
                <w14:lumMod w14:val="95000"/>
                <w14:lumOff w14:val="5000"/>
              </w14:schemeClr>
            </w14:solidFill>
          </w14:textFill>
        </w:rPr>
        <w:t>十</w:t>
      </w:r>
      <w:r>
        <w:rPr>
          <w:rFonts w:hint="eastAsia" w:ascii="宋体" w:hAnsi="宋体" w:eastAsia="宋体" w:cs="宋体"/>
          <w:b/>
          <w:bCs/>
          <w:color w:val="0D0D0D" w:themeColor="text1" w:themeTint="F2"/>
          <w:kern w:val="0"/>
          <w:sz w:val="24"/>
          <w:szCs w:val="24"/>
          <w:highlight w:val="none"/>
          <w:lang w:val="en-US" w:eastAsia="zh-CN"/>
          <w14:textFill>
            <w14:solidFill>
              <w14:schemeClr w14:val="tx1">
                <w14:lumMod w14:val="95000"/>
                <w14:lumOff w14:val="5000"/>
              </w14:schemeClr>
            </w14:solidFill>
          </w14:textFill>
        </w:rPr>
        <w:t>一</w:t>
      </w:r>
      <w:r>
        <w:rPr>
          <w:rFonts w:hint="eastAsia" w:ascii="宋体" w:hAnsi="宋体" w:eastAsia="宋体" w:cs="宋体"/>
          <w:b/>
          <w:bCs/>
          <w:color w:val="0D0D0D" w:themeColor="text1" w:themeTint="F2"/>
          <w:kern w:val="0"/>
          <w:sz w:val="24"/>
          <w:szCs w:val="24"/>
          <w:highlight w:val="none"/>
          <w14:textFill>
            <w14:solidFill>
              <w14:schemeClr w14:val="tx1">
                <w14:lumMod w14:val="95000"/>
                <w14:lumOff w14:val="5000"/>
              </w14:schemeClr>
            </w14:solidFill>
          </w14:textFill>
        </w:rPr>
        <w:t>、发布公告的媒介：</w:t>
      </w:r>
      <w:r>
        <w:rPr>
          <w:rFonts w:hint="eastAsia" w:ascii="宋体" w:hAnsi="宋体" w:eastAsia="宋体" w:cs="宋体"/>
          <w:bCs/>
          <w:color w:val="0D0D0D" w:themeColor="text1" w:themeTint="F2"/>
          <w:kern w:val="0"/>
          <w:sz w:val="24"/>
          <w:szCs w:val="24"/>
          <w:highlight w:val="none"/>
          <w14:textFill>
            <w14:solidFill>
              <w14:schemeClr w14:val="tx1">
                <w14:lumMod w14:val="95000"/>
                <w14:lumOff w14:val="5000"/>
              </w14:schemeClr>
            </w14:solidFill>
          </w14:textFill>
        </w:rPr>
        <w:t>南通市通州区水务有限公司http：//www.tzzls.com/。</w:t>
      </w:r>
    </w:p>
    <w:p w14:paraId="11145BCC">
      <w:pPr>
        <w:keepNext w:val="0"/>
        <w:keepLines w:val="0"/>
        <w:pageBreakBefore w:val="0"/>
        <w:widowControl/>
        <w:kinsoku/>
        <w:wordWrap/>
        <w:overflowPunct/>
        <w:topLinePunct w:val="0"/>
        <w:autoSpaceDE/>
        <w:autoSpaceDN/>
        <w:bidi w:val="0"/>
        <w:adjustRightInd/>
        <w:snapToGrid/>
        <w:spacing w:before="157" w:beforeLines="50" w:line="385" w:lineRule="exact"/>
        <w:ind w:firstLine="482" w:firstLineChars="200"/>
        <w:jc w:val="left"/>
        <w:textAlignment w:val="auto"/>
        <w:rPr>
          <w:rFonts w:hint="eastAsia" w:ascii="宋体" w:hAnsi="宋体" w:eastAsia="宋体" w:cs="宋体"/>
          <w:b/>
          <w:bCs/>
          <w:color w:val="0D0D0D" w:themeColor="text1" w:themeTint="F2"/>
          <w:kern w:val="0"/>
          <w:sz w:val="24"/>
          <w:szCs w:val="24"/>
          <w:highlight w:val="none"/>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0"/>
          <w:sz w:val="24"/>
          <w:szCs w:val="24"/>
          <w:highlight w:val="none"/>
          <w14:textFill>
            <w14:solidFill>
              <w14:schemeClr w14:val="tx1">
                <w14:lumMod w14:val="95000"/>
                <w14:lumOff w14:val="5000"/>
              </w14:schemeClr>
            </w14:solidFill>
          </w14:textFill>
        </w:rPr>
        <w:t>十</w:t>
      </w:r>
      <w:r>
        <w:rPr>
          <w:rFonts w:hint="eastAsia" w:ascii="宋体" w:hAnsi="宋体" w:eastAsia="宋体" w:cs="宋体"/>
          <w:b/>
          <w:bCs/>
          <w:color w:val="0D0D0D" w:themeColor="text1" w:themeTint="F2"/>
          <w:kern w:val="0"/>
          <w:sz w:val="24"/>
          <w:szCs w:val="24"/>
          <w:highlight w:val="none"/>
          <w:lang w:val="en-US" w:eastAsia="zh-CN"/>
          <w14:textFill>
            <w14:solidFill>
              <w14:schemeClr w14:val="tx1">
                <w14:lumMod w14:val="95000"/>
                <w14:lumOff w14:val="5000"/>
              </w14:schemeClr>
            </w14:solidFill>
          </w14:textFill>
        </w:rPr>
        <w:t>二</w:t>
      </w:r>
      <w:r>
        <w:rPr>
          <w:rFonts w:hint="eastAsia" w:ascii="宋体" w:hAnsi="宋体" w:eastAsia="宋体" w:cs="宋体"/>
          <w:b/>
          <w:bCs/>
          <w:color w:val="0D0D0D" w:themeColor="text1" w:themeTint="F2"/>
          <w:kern w:val="0"/>
          <w:sz w:val="24"/>
          <w:szCs w:val="24"/>
          <w:highlight w:val="none"/>
          <w14:textFill>
            <w14:solidFill>
              <w14:schemeClr w14:val="tx1">
                <w14:lumMod w14:val="95000"/>
                <w14:lumOff w14:val="5000"/>
              </w14:schemeClr>
            </w14:solidFill>
          </w14:textFill>
        </w:rPr>
        <w:t>、联系方式</w:t>
      </w:r>
    </w:p>
    <w:p w14:paraId="5312E963">
      <w:pPr>
        <w:pStyle w:val="56"/>
        <w:keepNext w:val="0"/>
        <w:keepLines w:val="0"/>
        <w:pageBreakBefore w:val="0"/>
        <w:widowControl/>
        <w:wordWrap/>
        <w:overflowPunct/>
        <w:topLinePunct w:val="0"/>
        <w:bidi w:val="0"/>
        <w:spacing w:line="385" w:lineRule="exact"/>
        <w:jc w:val="left"/>
        <w:rPr>
          <w:rFonts w:hint="eastAsia" w:ascii="宋体" w:hAnsi="宋体" w:eastAsia="宋体" w:cs="宋体"/>
          <w:color w:val="0D0D0D" w:themeColor="text1" w:themeTint="F2"/>
          <w:kern w:val="0"/>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0"/>
          <w:sz w:val="24"/>
          <w:szCs w:val="24"/>
          <w:highlight w:val="none"/>
          <w14:textFill>
            <w14:solidFill>
              <w14:schemeClr w14:val="tx1">
                <w14:lumMod w14:val="95000"/>
                <w14:lumOff w14:val="5000"/>
              </w14:schemeClr>
            </w14:solidFill>
          </w14:textFill>
        </w:rPr>
        <w:t>招</w:t>
      </w:r>
      <w:r>
        <w:rPr>
          <w:rFonts w:hint="eastAsia" w:ascii="宋体" w:hAnsi="宋体" w:eastAsia="宋体" w:cs="宋体"/>
          <w:color w:val="0D0D0D" w:themeColor="text1" w:themeTint="F2"/>
          <w:kern w:val="0"/>
          <w:sz w:val="24"/>
          <w:szCs w:val="24"/>
          <w:highlight w:val="none"/>
          <w:lang w:val="en-US" w:eastAsia="zh-CN"/>
          <w14:textFill>
            <w14:solidFill>
              <w14:schemeClr w14:val="tx1">
                <w14:lumMod w14:val="95000"/>
                <w14:lumOff w14:val="5000"/>
              </w14:schemeClr>
            </w14:solidFill>
          </w14:textFill>
        </w:rPr>
        <w:t xml:space="preserve"> </w:t>
      </w:r>
      <w:r>
        <w:rPr>
          <w:rFonts w:hint="eastAsia" w:ascii="宋体" w:hAnsi="宋体" w:eastAsia="宋体" w:cs="宋体"/>
          <w:color w:val="0D0D0D" w:themeColor="text1" w:themeTint="F2"/>
          <w:kern w:val="0"/>
          <w:sz w:val="24"/>
          <w:szCs w:val="24"/>
          <w:highlight w:val="none"/>
          <w14:textFill>
            <w14:solidFill>
              <w14:schemeClr w14:val="tx1">
                <w14:lumMod w14:val="95000"/>
                <w14:lumOff w14:val="5000"/>
              </w14:schemeClr>
            </w14:solidFill>
          </w14:textFill>
        </w:rPr>
        <w:t>标</w:t>
      </w:r>
      <w:r>
        <w:rPr>
          <w:rFonts w:hint="eastAsia" w:ascii="宋体" w:hAnsi="宋体" w:eastAsia="宋体" w:cs="宋体"/>
          <w:color w:val="0D0D0D" w:themeColor="text1" w:themeTint="F2"/>
          <w:kern w:val="0"/>
          <w:sz w:val="24"/>
          <w:szCs w:val="24"/>
          <w:highlight w:val="none"/>
          <w:lang w:val="en-US" w:eastAsia="zh-CN"/>
          <w14:textFill>
            <w14:solidFill>
              <w14:schemeClr w14:val="tx1">
                <w14:lumMod w14:val="95000"/>
                <w14:lumOff w14:val="5000"/>
              </w14:schemeClr>
            </w14:solidFill>
          </w14:textFill>
        </w:rPr>
        <w:t xml:space="preserve"> </w:t>
      </w:r>
      <w:r>
        <w:rPr>
          <w:rFonts w:hint="eastAsia" w:ascii="宋体" w:hAnsi="宋体" w:eastAsia="宋体" w:cs="宋体"/>
          <w:color w:val="0D0D0D" w:themeColor="text1" w:themeTint="F2"/>
          <w:kern w:val="0"/>
          <w:sz w:val="24"/>
          <w:szCs w:val="24"/>
          <w:highlight w:val="none"/>
          <w14:textFill>
            <w14:solidFill>
              <w14:schemeClr w14:val="tx1">
                <w14:lumMod w14:val="95000"/>
                <w14:lumOff w14:val="5000"/>
              </w14:schemeClr>
            </w14:solidFill>
          </w14:textFill>
        </w:rPr>
        <w:t>人：南通市通州区水务有限公司</w:t>
      </w:r>
    </w:p>
    <w:p w14:paraId="2D559F94">
      <w:pPr>
        <w:pStyle w:val="56"/>
        <w:keepNext w:val="0"/>
        <w:keepLines w:val="0"/>
        <w:pageBreakBefore w:val="0"/>
        <w:widowControl/>
        <w:wordWrap/>
        <w:overflowPunct/>
        <w:topLinePunct w:val="0"/>
        <w:bidi w:val="0"/>
        <w:spacing w:line="385" w:lineRule="exact"/>
        <w:jc w:val="left"/>
        <w:rPr>
          <w:rFonts w:hint="eastAsia" w:ascii="宋体" w:hAnsi="宋体" w:eastAsia="宋体" w:cs="宋体"/>
          <w:color w:val="0D0D0D" w:themeColor="text1" w:themeTint="F2"/>
          <w:kern w:val="0"/>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0"/>
          <w:sz w:val="24"/>
          <w:szCs w:val="24"/>
          <w:highlight w:val="none"/>
          <w14:textFill>
            <w14:solidFill>
              <w14:schemeClr w14:val="tx1">
                <w14:lumMod w14:val="95000"/>
                <w14:lumOff w14:val="5000"/>
              </w14:schemeClr>
            </w14:solidFill>
          </w14:textFill>
        </w:rPr>
        <w:t>地</w:t>
      </w:r>
      <w:r>
        <w:rPr>
          <w:rFonts w:hint="eastAsia" w:ascii="宋体" w:hAnsi="宋体" w:eastAsia="宋体" w:cs="宋体"/>
          <w:color w:val="0D0D0D" w:themeColor="text1" w:themeTint="F2"/>
          <w:kern w:val="0"/>
          <w:sz w:val="24"/>
          <w:szCs w:val="24"/>
          <w:highlight w:val="none"/>
          <w:lang w:val="en-US" w:eastAsia="zh-CN"/>
          <w14:textFill>
            <w14:solidFill>
              <w14:schemeClr w14:val="tx1">
                <w14:lumMod w14:val="95000"/>
                <w14:lumOff w14:val="5000"/>
              </w14:schemeClr>
            </w14:solidFill>
          </w14:textFill>
        </w:rPr>
        <w:t xml:space="preserve">    </w:t>
      </w:r>
      <w:r>
        <w:rPr>
          <w:rFonts w:hint="eastAsia" w:ascii="宋体" w:hAnsi="宋体" w:eastAsia="宋体" w:cs="宋体"/>
          <w:color w:val="0D0D0D" w:themeColor="text1" w:themeTint="F2"/>
          <w:kern w:val="0"/>
          <w:sz w:val="24"/>
          <w:szCs w:val="24"/>
          <w:highlight w:val="none"/>
          <w14:textFill>
            <w14:solidFill>
              <w14:schemeClr w14:val="tx1">
                <w14:lumMod w14:val="95000"/>
                <w14:lumOff w14:val="5000"/>
              </w14:schemeClr>
            </w14:solidFill>
          </w14:textFill>
        </w:rPr>
        <w:t>址：南通市通州区银河桥下</w:t>
      </w:r>
    </w:p>
    <w:p w14:paraId="67785508">
      <w:pPr>
        <w:pStyle w:val="56"/>
        <w:keepNext w:val="0"/>
        <w:keepLines w:val="0"/>
        <w:pageBreakBefore w:val="0"/>
        <w:widowControl/>
        <w:wordWrap/>
        <w:overflowPunct/>
        <w:topLinePunct w:val="0"/>
        <w:bidi w:val="0"/>
        <w:spacing w:line="385" w:lineRule="exact"/>
        <w:jc w:val="left"/>
        <w:rPr>
          <w:rFonts w:hint="eastAsia" w:ascii="宋体" w:hAnsi="宋体" w:eastAsia="宋体" w:cs="宋体"/>
          <w:color w:val="0D0D0D" w:themeColor="text1" w:themeTint="F2"/>
          <w:kern w:val="0"/>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0"/>
          <w:sz w:val="24"/>
          <w:szCs w:val="24"/>
          <w:highlight w:val="none"/>
          <w14:textFill>
            <w14:solidFill>
              <w14:schemeClr w14:val="tx1">
                <w14:lumMod w14:val="95000"/>
                <w14:lumOff w14:val="5000"/>
              </w14:schemeClr>
            </w14:solidFill>
          </w14:textFill>
        </w:rPr>
        <w:t>联</w:t>
      </w:r>
      <w:r>
        <w:rPr>
          <w:rFonts w:hint="eastAsia" w:ascii="宋体" w:hAnsi="宋体" w:eastAsia="宋体" w:cs="宋体"/>
          <w:color w:val="0D0D0D" w:themeColor="text1" w:themeTint="F2"/>
          <w:kern w:val="0"/>
          <w:sz w:val="24"/>
          <w:szCs w:val="24"/>
          <w:highlight w:val="none"/>
          <w:lang w:val="en-US" w:eastAsia="zh-CN"/>
          <w14:textFill>
            <w14:solidFill>
              <w14:schemeClr w14:val="tx1">
                <w14:lumMod w14:val="95000"/>
                <w14:lumOff w14:val="5000"/>
              </w14:schemeClr>
            </w14:solidFill>
          </w14:textFill>
        </w:rPr>
        <w:t xml:space="preserve"> </w:t>
      </w:r>
      <w:r>
        <w:rPr>
          <w:rFonts w:hint="eastAsia" w:ascii="宋体" w:hAnsi="宋体" w:eastAsia="宋体" w:cs="宋体"/>
          <w:color w:val="0D0D0D" w:themeColor="text1" w:themeTint="F2"/>
          <w:kern w:val="0"/>
          <w:sz w:val="24"/>
          <w:szCs w:val="24"/>
          <w:highlight w:val="none"/>
          <w14:textFill>
            <w14:solidFill>
              <w14:schemeClr w14:val="tx1">
                <w14:lumMod w14:val="95000"/>
                <w14:lumOff w14:val="5000"/>
              </w14:schemeClr>
            </w14:solidFill>
          </w14:textFill>
        </w:rPr>
        <w:t>系</w:t>
      </w:r>
      <w:r>
        <w:rPr>
          <w:rFonts w:hint="eastAsia" w:ascii="宋体" w:hAnsi="宋体" w:eastAsia="宋体" w:cs="宋体"/>
          <w:color w:val="0D0D0D" w:themeColor="text1" w:themeTint="F2"/>
          <w:kern w:val="0"/>
          <w:sz w:val="24"/>
          <w:szCs w:val="24"/>
          <w:highlight w:val="none"/>
          <w:lang w:val="en-US" w:eastAsia="zh-CN"/>
          <w14:textFill>
            <w14:solidFill>
              <w14:schemeClr w14:val="tx1">
                <w14:lumMod w14:val="95000"/>
                <w14:lumOff w14:val="5000"/>
              </w14:schemeClr>
            </w14:solidFill>
          </w14:textFill>
        </w:rPr>
        <w:t xml:space="preserve"> </w:t>
      </w:r>
      <w:r>
        <w:rPr>
          <w:rFonts w:hint="eastAsia" w:ascii="宋体" w:hAnsi="宋体" w:eastAsia="宋体" w:cs="宋体"/>
          <w:color w:val="0D0D0D" w:themeColor="text1" w:themeTint="F2"/>
          <w:kern w:val="0"/>
          <w:sz w:val="24"/>
          <w:szCs w:val="24"/>
          <w:highlight w:val="none"/>
          <w14:textFill>
            <w14:solidFill>
              <w14:schemeClr w14:val="tx1">
                <w14:lumMod w14:val="95000"/>
                <w14:lumOff w14:val="5000"/>
              </w14:schemeClr>
            </w14:solidFill>
          </w14:textFill>
        </w:rPr>
        <w:t>人：曹先生</w:t>
      </w:r>
    </w:p>
    <w:p w14:paraId="01D8BB54">
      <w:pPr>
        <w:pStyle w:val="56"/>
        <w:keepNext w:val="0"/>
        <w:keepLines w:val="0"/>
        <w:pageBreakBefore w:val="0"/>
        <w:widowControl/>
        <w:wordWrap/>
        <w:overflowPunct/>
        <w:topLinePunct w:val="0"/>
        <w:bidi w:val="0"/>
        <w:spacing w:line="385" w:lineRule="exact"/>
        <w:jc w:val="left"/>
        <w:rPr>
          <w:rFonts w:hint="eastAsia" w:ascii="宋体" w:hAnsi="宋体" w:eastAsia="宋体" w:cs="宋体"/>
          <w:color w:val="0D0D0D" w:themeColor="text1" w:themeTint="F2"/>
          <w:kern w:val="0"/>
          <w:sz w:val="24"/>
          <w:szCs w:val="24"/>
          <w:highlight w:val="none"/>
          <w:lang w:val="en-US" w:eastAsia="zh-CN"/>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0"/>
          <w:sz w:val="24"/>
          <w:szCs w:val="24"/>
          <w:highlight w:val="none"/>
          <w14:textFill>
            <w14:solidFill>
              <w14:schemeClr w14:val="tx1">
                <w14:lumMod w14:val="95000"/>
                <w14:lumOff w14:val="5000"/>
              </w14:schemeClr>
            </w14:solidFill>
          </w14:textFill>
        </w:rPr>
        <w:t>联系电话：</w:t>
      </w:r>
      <w:r>
        <w:rPr>
          <w:rFonts w:hint="eastAsia" w:ascii="宋体" w:hAnsi="宋体" w:eastAsia="宋体" w:cs="宋体"/>
          <w:color w:val="0D0D0D" w:themeColor="text1" w:themeTint="F2"/>
          <w:kern w:val="0"/>
          <w:sz w:val="24"/>
          <w:szCs w:val="24"/>
          <w:highlight w:val="none"/>
          <w:lang w:val="en-US" w:eastAsia="zh-CN"/>
          <w14:textFill>
            <w14:solidFill>
              <w14:schemeClr w14:val="tx1">
                <w14:lumMod w14:val="95000"/>
                <w14:lumOff w14:val="5000"/>
              </w14:schemeClr>
            </w14:solidFill>
          </w14:textFill>
        </w:rPr>
        <w:t>18605136022</w:t>
      </w:r>
    </w:p>
    <w:p w14:paraId="184D2C10">
      <w:pPr>
        <w:widowControl/>
        <w:spacing w:line="400" w:lineRule="exact"/>
        <w:ind w:left="6090" w:leftChars="2900" w:firstLine="2520" w:firstLineChars="1050"/>
        <w:jc w:val="left"/>
        <w:rPr>
          <w:rFonts w:hint="eastAsia" w:ascii="宋体" w:hAnsi="宋体" w:eastAsia="宋体" w:cs="宋体"/>
          <w:color w:val="0D0D0D" w:themeColor="text1" w:themeTint="F2"/>
          <w:kern w:val="0"/>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0"/>
          <w:sz w:val="24"/>
          <w:szCs w:val="24"/>
          <w:highlight w:val="none"/>
          <w:lang w:val="en-US" w:eastAsia="zh-CN"/>
          <w14:textFill>
            <w14:solidFill>
              <w14:schemeClr w14:val="tx1">
                <w14:lumMod w14:val="95000"/>
                <w14:lumOff w14:val="5000"/>
              </w14:schemeClr>
            </w14:solidFill>
          </w14:textFill>
        </w:rPr>
        <w:t xml:space="preserve"> </w:t>
      </w:r>
      <w:r>
        <w:rPr>
          <w:rFonts w:hint="eastAsia" w:ascii="宋体" w:hAnsi="宋体" w:eastAsia="宋体" w:cs="宋体"/>
          <w:color w:val="0D0D0D" w:themeColor="text1" w:themeTint="F2"/>
          <w:kern w:val="0"/>
          <w:sz w:val="24"/>
          <w:szCs w:val="24"/>
          <w:highlight w:val="none"/>
          <w14:textFill>
            <w14:solidFill>
              <w14:schemeClr w14:val="tx1">
                <w14:lumMod w14:val="95000"/>
                <w14:lumOff w14:val="5000"/>
              </w14:schemeClr>
            </w14:solidFill>
          </w14:textFill>
        </w:rPr>
        <w:t>2025年</w:t>
      </w:r>
      <w:r>
        <w:rPr>
          <w:rFonts w:hint="eastAsia" w:ascii="宋体" w:hAnsi="宋体" w:cs="宋体"/>
          <w:color w:val="0D0D0D" w:themeColor="text1" w:themeTint="F2"/>
          <w:kern w:val="0"/>
          <w:sz w:val="24"/>
          <w:szCs w:val="24"/>
          <w:highlight w:val="none"/>
          <w:lang w:val="en-US" w:eastAsia="zh-CN"/>
          <w14:textFill>
            <w14:solidFill>
              <w14:schemeClr w14:val="tx1">
                <w14:lumMod w14:val="95000"/>
                <w14:lumOff w14:val="5000"/>
              </w14:schemeClr>
            </w14:solidFill>
          </w14:textFill>
        </w:rPr>
        <w:t>6</w:t>
      </w:r>
      <w:r>
        <w:rPr>
          <w:rFonts w:hint="eastAsia" w:ascii="宋体" w:hAnsi="宋体" w:eastAsia="宋体" w:cs="宋体"/>
          <w:color w:val="0D0D0D" w:themeColor="text1" w:themeTint="F2"/>
          <w:kern w:val="0"/>
          <w:sz w:val="24"/>
          <w:szCs w:val="24"/>
          <w:highlight w:val="none"/>
          <w14:textFill>
            <w14:solidFill>
              <w14:schemeClr w14:val="tx1">
                <w14:lumMod w14:val="95000"/>
                <w14:lumOff w14:val="5000"/>
              </w14:schemeClr>
            </w14:solidFill>
          </w14:textFill>
        </w:rPr>
        <w:t>月</w:t>
      </w:r>
      <w:r>
        <w:rPr>
          <w:rFonts w:hint="eastAsia" w:ascii="宋体" w:hAnsi="宋体" w:eastAsia="宋体" w:cs="宋体"/>
          <w:color w:val="0D0D0D" w:themeColor="text1" w:themeTint="F2"/>
          <w:kern w:val="0"/>
          <w:sz w:val="24"/>
          <w:szCs w:val="24"/>
          <w:highlight w:val="none"/>
          <w:u w:val="single"/>
          <w14:textFill>
            <w14:solidFill>
              <w14:schemeClr w14:val="tx1">
                <w14:lumMod w14:val="95000"/>
                <w14:lumOff w14:val="5000"/>
              </w14:schemeClr>
            </w14:solidFill>
          </w14:textFill>
        </w:rPr>
        <w:t xml:space="preserve"> </w:t>
      </w:r>
      <w:r>
        <w:rPr>
          <w:rFonts w:hint="eastAsia" w:ascii="宋体" w:hAnsi="宋体" w:cs="宋体"/>
          <w:color w:val="0D0D0D" w:themeColor="text1" w:themeTint="F2"/>
          <w:kern w:val="0"/>
          <w:sz w:val="24"/>
          <w:szCs w:val="24"/>
          <w:highlight w:val="none"/>
          <w:u w:val="single"/>
          <w:lang w:val="en-US" w:eastAsia="zh-CN"/>
          <w14:textFill>
            <w14:solidFill>
              <w14:schemeClr w14:val="tx1">
                <w14:lumMod w14:val="95000"/>
                <w14:lumOff w14:val="5000"/>
              </w14:schemeClr>
            </w14:solidFill>
          </w14:textFill>
        </w:rPr>
        <w:t>26</w:t>
      </w:r>
      <w:r>
        <w:rPr>
          <w:rFonts w:hint="eastAsia" w:ascii="宋体" w:hAnsi="宋体" w:eastAsia="宋体" w:cs="宋体"/>
          <w:color w:val="0D0D0D" w:themeColor="text1" w:themeTint="F2"/>
          <w:kern w:val="0"/>
          <w:sz w:val="24"/>
          <w:szCs w:val="24"/>
          <w:highlight w:val="none"/>
          <w14:textFill>
            <w14:solidFill>
              <w14:schemeClr w14:val="tx1">
                <w14:lumMod w14:val="95000"/>
                <w14:lumOff w14:val="5000"/>
              </w14:schemeClr>
            </w14:solidFill>
          </w14:textFill>
        </w:rPr>
        <w:t>日</w:t>
      </w:r>
      <w:bookmarkEnd w:id="0"/>
      <w:bookmarkEnd w:id="1"/>
      <w:bookmarkEnd w:id="2"/>
      <w:bookmarkEnd w:id="3"/>
      <w:bookmarkEnd w:id="4"/>
      <w:bookmarkEnd w:id="5"/>
    </w:p>
    <w:bookmarkEnd w:id="6"/>
    <w:p w14:paraId="65896CCA">
      <w:pPr>
        <w:widowControl/>
        <w:spacing w:line="310" w:lineRule="atLeast"/>
        <w:jc w:val="center"/>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pPr>
    </w:p>
    <w:p w14:paraId="2E2BB8CD">
      <w:pPr>
        <w:widowControl/>
        <w:spacing w:line="310" w:lineRule="atLeast"/>
        <w:jc w:val="both"/>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pPr>
    </w:p>
    <w:p w14:paraId="41443B49">
      <w:pPr>
        <w:widowControl/>
        <w:spacing w:line="310" w:lineRule="atLeast"/>
        <w:jc w:val="center"/>
        <w:rPr>
          <w:rFonts w:hint="eastAsia" w:ascii="宋体" w:hAnsi="宋体" w:eastAsia="宋体" w:cs="宋体"/>
          <w:b/>
          <w:bCs/>
          <w:color w:val="0D0D0D" w:themeColor="text1" w:themeTint="F2"/>
          <w:sz w:val="36"/>
          <w:szCs w:val="36"/>
          <w:highlight w:val="none"/>
          <w14:textFill>
            <w14:solidFill>
              <w14:schemeClr w14:val="tx1">
                <w14:lumMod w14:val="95000"/>
                <w14:lumOff w14:val="5000"/>
              </w14:schemeClr>
            </w14:solidFill>
          </w14:textFill>
        </w:rPr>
      </w:pPr>
      <w:r>
        <w:rPr>
          <w:rFonts w:hint="eastAsia" w:ascii="宋体" w:hAnsi="宋体" w:eastAsia="宋体" w:cs="宋体"/>
          <w:b/>
          <w:bCs/>
          <w:color w:val="0D0D0D" w:themeColor="text1" w:themeTint="F2"/>
          <w:sz w:val="36"/>
          <w:szCs w:val="36"/>
          <w:highlight w:val="none"/>
          <w14:textFill>
            <w14:solidFill>
              <w14:schemeClr w14:val="tx1">
                <w14:lumMod w14:val="95000"/>
                <w14:lumOff w14:val="5000"/>
              </w14:schemeClr>
            </w14:solidFill>
          </w14:textFill>
        </w:rPr>
        <w:t>第二章　投标须知及投标须知前附表</w:t>
      </w:r>
    </w:p>
    <w:p w14:paraId="68EC18BD">
      <w:pPr>
        <w:spacing w:line="360" w:lineRule="auto"/>
        <w:jc w:val="center"/>
        <w:rPr>
          <w:rFonts w:hint="eastAsia" w:ascii="宋体" w:hAnsi="宋体" w:eastAsia="宋体" w:cs="宋体"/>
          <w:b/>
          <w:bCs/>
          <w:color w:val="0D0D0D" w:themeColor="text1" w:themeTint="F2"/>
          <w:sz w:val="36"/>
          <w:szCs w:val="36"/>
          <w:highlight w:val="none"/>
          <w14:textFill>
            <w14:solidFill>
              <w14:schemeClr w14:val="tx1">
                <w14:lumMod w14:val="95000"/>
                <w14:lumOff w14:val="5000"/>
              </w14:schemeClr>
            </w14:solidFill>
          </w14:textFill>
        </w:rPr>
      </w:pPr>
      <w:r>
        <w:rPr>
          <w:rFonts w:hint="eastAsia" w:ascii="宋体" w:hAnsi="宋体" w:eastAsia="宋体" w:cs="宋体"/>
          <w:b/>
          <w:bCs/>
          <w:color w:val="0D0D0D" w:themeColor="text1" w:themeTint="F2"/>
          <w:sz w:val="36"/>
          <w:szCs w:val="36"/>
          <w:highlight w:val="none"/>
          <w14:textFill>
            <w14:solidFill>
              <w14:schemeClr w14:val="tx1">
                <w14:lumMod w14:val="95000"/>
                <w14:lumOff w14:val="5000"/>
              </w14:schemeClr>
            </w14:solidFill>
          </w14:textFill>
        </w:rPr>
        <w:t>前附表</w:t>
      </w:r>
    </w:p>
    <w:tbl>
      <w:tblPr>
        <w:tblStyle w:val="26"/>
        <w:tblW w:w="9658"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2161"/>
        <w:gridCol w:w="6788"/>
      </w:tblGrid>
      <w:tr w14:paraId="5C7737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709" w:type="dxa"/>
          </w:tcPr>
          <w:p w14:paraId="55387C65">
            <w:pPr>
              <w:spacing w:line="400" w:lineRule="exact"/>
              <w:jc w:val="center"/>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t>序号</w:t>
            </w:r>
          </w:p>
        </w:tc>
        <w:tc>
          <w:tcPr>
            <w:tcW w:w="2161" w:type="dxa"/>
          </w:tcPr>
          <w:p w14:paraId="65805747">
            <w:pPr>
              <w:spacing w:line="400" w:lineRule="exact"/>
              <w:jc w:val="center"/>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t>内容</w:t>
            </w:r>
          </w:p>
        </w:tc>
        <w:tc>
          <w:tcPr>
            <w:tcW w:w="6788" w:type="dxa"/>
          </w:tcPr>
          <w:p w14:paraId="68C0D039">
            <w:pPr>
              <w:spacing w:line="400" w:lineRule="exact"/>
              <w:jc w:val="center"/>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t>说明与要求</w:t>
            </w:r>
          </w:p>
        </w:tc>
      </w:tr>
      <w:tr w14:paraId="788BB6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709" w:type="dxa"/>
            <w:vAlign w:val="center"/>
          </w:tcPr>
          <w:p w14:paraId="38D1AAA8">
            <w:pPr>
              <w:spacing w:line="400" w:lineRule="exact"/>
              <w:jc w:val="cente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1</w:t>
            </w:r>
          </w:p>
        </w:tc>
        <w:tc>
          <w:tcPr>
            <w:tcW w:w="2161" w:type="dxa"/>
            <w:vAlign w:val="center"/>
          </w:tcPr>
          <w:p w14:paraId="3615FED0">
            <w:pPr>
              <w:spacing w:line="400" w:lineRule="exact"/>
              <w:jc w:val="cente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项目名称</w:t>
            </w:r>
          </w:p>
        </w:tc>
        <w:tc>
          <w:tcPr>
            <w:tcW w:w="6788" w:type="dxa"/>
            <w:vAlign w:val="center"/>
          </w:tcPr>
          <w:p w14:paraId="43DF68D2">
            <w:pPr>
              <w:spacing w:line="400" w:lineRule="exact"/>
              <w:jc w:val="left"/>
              <w:rPr>
                <w:rFonts w:hint="eastAsia" w:ascii="宋体" w:hAnsi="宋体" w:eastAsia="宋体" w:cs="宋体"/>
                <w:bCs/>
                <w:color w:val="000000"/>
                <w:sz w:val="21"/>
                <w:szCs w:val="21"/>
                <w:highlight w:val="none"/>
              </w:rPr>
            </w:pPr>
            <w:r>
              <w:rPr>
                <w:rFonts w:hint="eastAsia" w:ascii="宋体" w:hAnsi="宋体" w:eastAsia="宋体" w:cs="宋体"/>
                <w:color w:val="0D0D0D" w:themeColor="text1" w:themeTint="F2"/>
                <w:sz w:val="21"/>
                <w:szCs w:val="21"/>
                <w:highlight w:val="none"/>
                <w:u w:val="none"/>
                <w14:textFill>
                  <w14:solidFill>
                    <w14:schemeClr w14:val="tx1">
                      <w14:lumMod w14:val="95000"/>
                      <w14:lumOff w14:val="5000"/>
                    </w14:schemeClr>
                  </w14:solidFill>
                </w14:textFill>
              </w:rPr>
              <w:t>南通市通州区水务有限公司</w:t>
            </w:r>
            <w:r>
              <w:rPr>
                <w:rFonts w:hint="eastAsia" w:ascii="宋体" w:hAnsi="宋体" w:eastAsia="宋体" w:cs="宋体"/>
                <w:color w:val="0D0D0D" w:themeColor="text1" w:themeTint="F2"/>
                <w:sz w:val="21"/>
                <w:szCs w:val="21"/>
                <w:highlight w:val="none"/>
                <w:u w:val="none"/>
                <w:lang w:val="en-US" w:eastAsia="zh-CN"/>
                <w14:textFill>
                  <w14:solidFill>
                    <w14:schemeClr w14:val="tx1">
                      <w14:lumMod w14:val="95000"/>
                      <w14:lumOff w14:val="5000"/>
                    </w14:schemeClr>
                  </w14:solidFill>
                </w14:textFill>
              </w:rPr>
              <w:t>0.4KV有源滤波器成套设备</w:t>
            </w:r>
            <w:r>
              <w:rPr>
                <w:rFonts w:hint="eastAsia" w:ascii="宋体" w:hAnsi="宋体" w:eastAsia="宋体" w:cs="宋体"/>
                <w:color w:val="0D0D0D" w:themeColor="text1" w:themeTint="F2"/>
                <w:sz w:val="21"/>
                <w:szCs w:val="21"/>
                <w:highlight w:val="none"/>
                <w:u w:val="none"/>
                <w14:textFill>
                  <w14:solidFill>
                    <w14:schemeClr w14:val="tx1">
                      <w14:lumMod w14:val="95000"/>
                      <w14:lumOff w14:val="5000"/>
                    </w14:schemeClr>
                  </w14:solidFill>
                </w14:textFill>
              </w:rPr>
              <w:t>采购及安装项目</w:t>
            </w:r>
          </w:p>
        </w:tc>
      </w:tr>
      <w:tr w14:paraId="6557D8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709" w:type="dxa"/>
            <w:vAlign w:val="center"/>
          </w:tcPr>
          <w:p w14:paraId="60E3B5D8">
            <w:pPr>
              <w:spacing w:line="400" w:lineRule="exact"/>
              <w:jc w:val="cente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2</w:t>
            </w:r>
          </w:p>
        </w:tc>
        <w:tc>
          <w:tcPr>
            <w:tcW w:w="2161" w:type="dxa"/>
            <w:vAlign w:val="center"/>
          </w:tcPr>
          <w:p w14:paraId="60955870">
            <w:pPr>
              <w:spacing w:line="400" w:lineRule="exact"/>
              <w:jc w:val="cente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项目地点</w:t>
            </w:r>
          </w:p>
        </w:tc>
        <w:tc>
          <w:tcPr>
            <w:tcW w:w="6788" w:type="dxa"/>
            <w:vAlign w:val="center"/>
          </w:tcPr>
          <w:p w14:paraId="453CABDC">
            <w:pPr>
              <w:spacing w:line="400" w:lineRule="exact"/>
              <w:jc w:val="left"/>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南通市通州区</w:t>
            </w:r>
          </w:p>
        </w:tc>
      </w:tr>
      <w:tr w14:paraId="2AF74B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709" w:type="dxa"/>
            <w:vAlign w:val="center"/>
          </w:tcPr>
          <w:p w14:paraId="723F3F96">
            <w:pPr>
              <w:spacing w:line="400" w:lineRule="exact"/>
              <w:jc w:val="cente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3</w:t>
            </w:r>
          </w:p>
        </w:tc>
        <w:tc>
          <w:tcPr>
            <w:tcW w:w="2161" w:type="dxa"/>
            <w:vAlign w:val="center"/>
          </w:tcPr>
          <w:p w14:paraId="7647330D">
            <w:pPr>
              <w:spacing w:line="400" w:lineRule="exact"/>
              <w:jc w:val="cente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项目需求</w:t>
            </w:r>
          </w:p>
        </w:tc>
        <w:tc>
          <w:tcPr>
            <w:tcW w:w="6788" w:type="dxa"/>
            <w:vAlign w:val="center"/>
          </w:tcPr>
          <w:p w14:paraId="04DCAF50">
            <w:pPr>
              <w:jc w:val="left"/>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sz w:val="21"/>
                <w:szCs w:val="21"/>
                <w:highlight w:val="none"/>
                <w:lang w:val="en-US" w:eastAsia="zh-CN"/>
              </w:rPr>
              <w:t>金沙泵站0.4KV供配电系统谐波治理，采购补偿容量为300A的有源滤波器成套设备及安装。</w:t>
            </w:r>
          </w:p>
        </w:tc>
      </w:tr>
      <w:tr w14:paraId="277DC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709" w:type="dxa"/>
            <w:vAlign w:val="center"/>
          </w:tcPr>
          <w:p w14:paraId="1B918CA8">
            <w:pPr>
              <w:spacing w:line="400" w:lineRule="exact"/>
              <w:jc w:val="cente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4</w:t>
            </w:r>
          </w:p>
        </w:tc>
        <w:tc>
          <w:tcPr>
            <w:tcW w:w="2161" w:type="dxa"/>
            <w:vAlign w:val="center"/>
          </w:tcPr>
          <w:p w14:paraId="1C1CBFD9">
            <w:pPr>
              <w:spacing w:line="400" w:lineRule="exact"/>
              <w:jc w:val="cente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招标内容</w:t>
            </w:r>
          </w:p>
        </w:tc>
        <w:tc>
          <w:tcPr>
            <w:tcW w:w="6788" w:type="dxa"/>
            <w:vAlign w:val="center"/>
          </w:tcPr>
          <w:p w14:paraId="5140D64C">
            <w:pPr>
              <w:spacing w:line="400" w:lineRule="exact"/>
              <w:jc w:val="left"/>
              <w:rPr>
                <w:rFonts w:hint="eastAsia" w:ascii="宋体" w:hAnsi="宋体" w:eastAsia="宋体" w:cs="宋体"/>
                <w:sz w:val="21"/>
                <w:szCs w:val="21"/>
                <w:highlight w:val="none"/>
              </w:rPr>
            </w:pPr>
            <w:r>
              <w:rPr>
                <w:rFonts w:hint="eastAsia" w:ascii="宋体" w:hAnsi="宋体" w:eastAsia="宋体" w:cs="宋体"/>
                <w:color w:val="0D0D0D" w:themeColor="text1" w:themeTint="F2"/>
                <w:sz w:val="21"/>
                <w:szCs w:val="21"/>
                <w:highlight w:val="none"/>
                <w:u w:val="none"/>
                <w:lang w:val="en-US" w:eastAsia="zh-CN"/>
                <w14:textFill>
                  <w14:solidFill>
                    <w14:schemeClr w14:val="tx1">
                      <w14:lumMod w14:val="95000"/>
                      <w14:lumOff w14:val="5000"/>
                    </w14:schemeClr>
                  </w14:solidFill>
                </w14:textFill>
              </w:rPr>
              <w:t>0.4KV有源滤波器成套设备</w:t>
            </w:r>
            <w:r>
              <w:rPr>
                <w:rFonts w:hint="eastAsia" w:ascii="宋体" w:hAnsi="宋体" w:eastAsia="宋体" w:cs="宋体"/>
                <w:color w:val="0D0D0D" w:themeColor="text1" w:themeTint="F2"/>
                <w:sz w:val="21"/>
                <w:szCs w:val="21"/>
                <w:highlight w:val="none"/>
                <w:u w:val="none"/>
                <w14:textFill>
                  <w14:solidFill>
                    <w14:schemeClr w14:val="tx1">
                      <w14:lumMod w14:val="95000"/>
                      <w14:lumOff w14:val="5000"/>
                    </w14:schemeClr>
                  </w14:solidFill>
                </w14:textFill>
              </w:rPr>
              <w:t>采购及安装</w:t>
            </w:r>
          </w:p>
        </w:tc>
      </w:tr>
      <w:tr w14:paraId="683D2F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709" w:type="dxa"/>
            <w:vAlign w:val="center"/>
          </w:tcPr>
          <w:p w14:paraId="69500C37">
            <w:pPr>
              <w:spacing w:line="400" w:lineRule="exact"/>
              <w:jc w:val="cente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5</w:t>
            </w:r>
          </w:p>
        </w:tc>
        <w:tc>
          <w:tcPr>
            <w:tcW w:w="2161" w:type="dxa"/>
            <w:vAlign w:val="center"/>
          </w:tcPr>
          <w:p w14:paraId="438E39D5">
            <w:pPr>
              <w:spacing w:line="400" w:lineRule="exact"/>
              <w:jc w:val="cente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投标报价方式</w:t>
            </w:r>
          </w:p>
        </w:tc>
        <w:tc>
          <w:tcPr>
            <w:tcW w:w="6788" w:type="dxa"/>
            <w:vAlign w:val="center"/>
          </w:tcPr>
          <w:p w14:paraId="5F99121B">
            <w:pPr>
              <w:spacing w:line="400" w:lineRule="exact"/>
              <w:jc w:val="left"/>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固定单价报价</w:t>
            </w:r>
          </w:p>
        </w:tc>
      </w:tr>
      <w:tr w14:paraId="02EE1B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709" w:type="dxa"/>
            <w:vAlign w:val="center"/>
          </w:tcPr>
          <w:p w14:paraId="65B70441">
            <w:pPr>
              <w:spacing w:line="400" w:lineRule="exact"/>
              <w:jc w:val="cente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6</w:t>
            </w:r>
          </w:p>
        </w:tc>
        <w:tc>
          <w:tcPr>
            <w:tcW w:w="2161" w:type="dxa"/>
            <w:vAlign w:val="center"/>
          </w:tcPr>
          <w:p w14:paraId="61AC99C8">
            <w:pPr>
              <w:spacing w:line="400" w:lineRule="exact"/>
              <w:jc w:val="cente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资金来源</w:t>
            </w:r>
          </w:p>
        </w:tc>
        <w:tc>
          <w:tcPr>
            <w:tcW w:w="6788" w:type="dxa"/>
            <w:vAlign w:val="center"/>
          </w:tcPr>
          <w:p w14:paraId="0F1C4A97">
            <w:pPr>
              <w:spacing w:line="40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公司自筹</w:t>
            </w:r>
          </w:p>
        </w:tc>
      </w:tr>
      <w:tr w14:paraId="708289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709" w:type="dxa"/>
            <w:vAlign w:val="center"/>
          </w:tcPr>
          <w:p w14:paraId="3A3F6B79">
            <w:pPr>
              <w:spacing w:line="400" w:lineRule="exact"/>
              <w:jc w:val="cente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7</w:t>
            </w:r>
          </w:p>
        </w:tc>
        <w:tc>
          <w:tcPr>
            <w:tcW w:w="2161" w:type="dxa"/>
            <w:vAlign w:val="center"/>
          </w:tcPr>
          <w:p w14:paraId="4707F3BE">
            <w:pPr>
              <w:spacing w:line="400" w:lineRule="exact"/>
              <w:jc w:val="cente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投标有效期</w:t>
            </w:r>
          </w:p>
        </w:tc>
        <w:tc>
          <w:tcPr>
            <w:tcW w:w="6788" w:type="dxa"/>
            <w:vAlign w:val="center"/>
          </w:tcPr>
          <w:p w14:paraId="0DB19B3D">
            <w:pPr>
              <w:spacing w:line="400" w:lineRule="exact"/>
              <w:jc w:val="left"/>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60日历天</w:t>
            </w:r>
          </w:p>
        </w:tc>
      </w:tr>
      <w:tr w14:paraId="5EE40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9" w:hRule="atLeast"/>
        </w:trPr>
        <w:tc>
          <w:tcPr>
            <w:tcW w:w="709" w:type="dxa"/>
            <w:vAlign w:val="center"/>
          </w:tcPr>
          <w:p w14:paraId="14A1C285">
            <w:pPr>
              <w:spacing w:line="400" w:lineRule="exact"/>
              <w:jc w:val="cente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8</w:t>
            </w:r>
          </w:p>
        </w:tc>
        <w:tc>
          <w:tcPr>
            <w:tcW w:w="2161" w:type="dxa"/>
            <w:vAlign w:val="center"/>
          </w:tcPr>
          <w:p w14:paraId="2BB5289D">
            <w:pPr>
              <w:spacing w:line="400" w:lineRule="exact"/>
              <w:jc w:val="cente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投标保证金的递交</w:t>
            </w:r>
          </w:p>
        </w:tc>
        <w:tc>
          <w:tcPr>
            <w:tcW w:w="6788" w:type="dxa"/>
            <w:vAlign w:val="center"/>
          </w:tcPr>
          <w:p w14:paraId="396AC944">
            <w:pPr>
              <w:adjustRightInd w:val="0"/>
              <w:snapToGrid w:val="0"/>
              <w:spacing w:line="400" w:lineRule="exact"/>
              <w:jc w:val="left"/>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1.投标人在递交投标文件的同时，应按规定的金额、形式递交投标保证金，并作为其投标文件的组成部分。</w:t>
            </w:r>
          </w:p>
          <w:p w14:paraId="6E9F36A4">
            <w:pPr>
              <w:spacing w:line="400" w:lineRule="exact"/>
              <w:jc w:val="left"/>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2.本项目投标保证金数额为1000元整</w:t>
            </w:r>
            <w:r>
              <w:rPr>
                <w:rFonts w:hint="eastAsia" w:ascii="宋体" w:hAnsi="宋体" w:eastAsia="宋体" w:cs="宋体"/>
                <w:b/>
                <w:color w:val="000000"/>
                <w:sz w:val="21"/>
                <w:szCs w:val="21"/>
                <w:highlight w:val="none"/>
              </w:rPr>
              <w:t>（现金</w:t>
            </w:r>
            <w:r>
              <w:rPr>
                <w:rFonts w:hint="eastAsia" w:ascii="宋体" w:hAnsi="宋体" w:eastAsia="宋体" w:cs="宋体"/>
                <w:b/>
                <w:color w:val="0D0D0D" w:themeColor="text1" w:themeTint="F2"/>
                <w:sz w:val="21"/>
                <w:szCs w:val="21"/>
                <w:highlight w:val="none"/>
                <w14:textFill>
                  <w14:solidFill>
                    <w14:schemeClr w14:val="tx1">
                      <w14:lumMod w14:val="95000"/>
                      <w14:lumOff w14:val="5000"/>
                    </w14:schemeClr>
                  </w14:solidFill>
                </w14:textFill>
              </w:rPr>
              <w:t>），</w:t>
            </w:r>
            <w:r>
              <w:rPr>
                <w:rFonts w:hint="eastAsia" w:ascii="宋体" w:hAnsi="宋体" w:eastAsia="宋体" w:cs="宋体"/>
                <w:snapToGrid w:val="0"/>
                <w:color w:val="000000"/>
                <w:kern w:val="0"/>
                <w:sz w:val="21"/>
                <w:szCs w:val="21"/>
                <w:highlight w:val="none"/>
              </w:rPr>
              <w:t>未按规定提交投标保证金的投标文件，招标人将按不符合性投标而予以拒绝。</w:t>
            </w:r>
          </w:p>
        </w:tc>
      </w:tr>
      <w:tr w14:paraId="525212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5" w:hRule="atLeast"/>
        </w:trPr>
        <w:tc>
          <w:tcPr>
            <w:tcW w:w="709" w:type="dxa"/>
            <w:vAlign w:val="center"/>
          </w:tcPr>
          <w:p w14:paraId="3B22C1BA">
            <w:pPr>
              <w:spacing w:line="400" w:lineRule="exact"/>
              <w:jc w:val="cente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9</w:t>
            </w:r>
          </w:p>
        </w:tc>
        <w:tc>
          <w:tcPr>
            <w:tcW w:w="2161" w:type="dxa"/>
            <w:vAlign w:val="center"/>
          </w:tcPr>
          <w:p w14:paraId="7A043574">
            <w:pPr>
              <w:spacing w:line="400" w:lineRule="exact"/>
              <w:jc w:val="cente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投标保证金的退还</w:t>
            </w:r>
          </w:p>
        </w:tc>
        <w:tc>
          <w:tcPr>
            <w:tcW w:w="6788" w:type="dxa"/>
            <w:vAlign w:val="center"/>
          </w:tcPr>
          <w:p w14:paraId="37D759E7">
            <w:pPr>
              <w:spacing w:line="400" w:lineRule="exact"/>
              <w:jc w:val="left"/>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1.未中标的投标人的投标保证金将在开标结束后根据招投标实际情况予以退还（无息）。</w:t>
            </w:r>
          </w:p>
          <w:p w14:paraId="535D0AB7">
            <w:pPr>
              <w:spacing w:line="400" w:lineRule="exact"/>
              <w:jc w:val="left"/>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2.中标人的投标保证金，在签署合同后无息退还。</w:t>
            </w:r>
          </w:p>
        </w:tc>
      </w:tr>
      <w:tr w14:paraId="0AE81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709" w:type="dxa"/>
            <w:vAlign w:val="center"/>
          </w:tcPr>
          <w:p w14:paraId="5398E6BD">
            <w:pPr>
              <w:spacing w:line="400" w:lineRule="exact"/>
              <w:jc w:val="cente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10</w:t>
            </w:r>
          </w:p>
        </w:tc>
        <w:tc>
          <w:tcPr>
            <w:tcW w:w="2161" w:type="dxa"/>
            <w:vAlign w:val="center"/>
          </w:tcPr>
          <w:p w14:paraId="15B6EF5A">
            <w:pPr>
              <w:spacing w:line="400" w:lineRule="exact"/>
              <w:jc w:val="cente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踏勘现场</w:t>
            </w:r>
          </w:p>
        </w:tc>
        <w:tc>
          <w:tcPr>
            <w:tcW w:w="6788" w:type="dxa"/>
            <w:vAlign w:val="center"/>
          </w:tcPr>
          <w:p w14:paraId="60424B49">
            <w:pPr>
              <w:spacing w:line="400" w:lineRule="exact"/>
              <w:jc w:val="left"/>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踏勘现场由投标人自行组织</w:t>
            </w:r>
          </w:p>
        </w:tc>
      </w:tr>
      <w:tr w14:paraId="59A4D3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709" w:type="dxa"/>
            <w:vAlign w:val="center"/>
          </w:tcPr>
          <w:p w14:paraId="19625EAC">
            <w:pPr>
              <w:spacing w:line="400" w:lineRule="exact"/>
              <w:jc w:val="cente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11</w:t>
            </w:r>
          </w:p>
        </w:tc>
        <w:tc>
          <w:tcPr>
            <w:tcW w:w="2161" w:type="dxa"/>
            <w:vAlign w:val="center"/>
          </w:tcPr>
          <w:p w14:paraId="5DBFE241">
            <w:pPr>
              <w:spacing w:line="400" w:lineRule="exact"/>
              <w:jc w:val="cente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投标文件份数</w:t>
            </w:r>
          </w:p>
        </w:tc>
        <w:tc>
          <w:tcPr>
            <w:tcW w:w="6788" w:type="dxa"/>
            <w:vAlign w:val="center"/>
          </w:tcPr>
          <w:p w14:paraId="587A97A2">
            <w:pPr>
              <w:spacing w:line="400" w:lineRule="exact"/>
              <w:jc w:val="left"/>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kern w:val="0"/>
                <w:sz w:val="21"/>
                <w:szCs w:val="21"/>
                <w:highlight w:val="none"/>
              </w:rPr>
              <w:t>正本壹份，副本贰份</w:t>
            </w:r>
          </w:p>
        </w:tc>
      </w:tr>
      <w:tr w14:paraId="1F91C6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trPr>
        <w:tc>
          <w:tcPr>
            <w:tcW w:w="709" w:type="dxa"/>
            <w:vAlign w:val="center"/>
          </w:tcPr>
          <w:p w14:paraId="0B94371D">
            <w:pPr>
              <w:spacing w:line="400" w:lineRule="exact"/>
              <w:jc w:val="cente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12</w:t>
            </w:r>
          </w:p>
        </w:tc>
        <w:tc>
          <w:tcPr>
            <w:tcW w:w="2161" w:type="dxa"/>
            <w:vAlign w:val="center"/>
          </w:tcPr>
          <w:p w14:paraId="6AD447B7">
            <w:pPr>
              <w:spacing w:line="400" w:lineRule="exact"/>
              <w:jc w:val="cente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投标文件递交地点及截止时间</w:t>
            </w:r>
          </w:p>
        </w:tc>
        <w:tc>
          <w:tcPr>
            <w:tcW w:w="6788" w:type="dxa"/>
            <w:vAlign w:val="center"/>
          </w:tcPr>
          <w:p w14:paraId="395B5EBD">
            <w:pPr>
              <w:spacing w:line="400" w:lineRule="exact"/>
              <w:jc w:val="left"/>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投标文件递交截止时间：</w:t>
            </w:r>
            <w:r>
              <w:rPr>
                <w:rFonts w:hint="eastAsia" w:ascii="宋体" w:hAnsi="宋体" w:eastAsia="宋体" w:cs="宋体"/>
                <w:b/>
                <w:bCs/>
                <w:color w:val="0D0D0D" w:themeColor="text1" w:themeTint="F2"/>
                <w:sz w:val="21"/>
                <w:szCs w:val="21"/>
                <w:highlight w:val="none"/>
                <w14:textFill>
                  <w14:solidFill>
                    <w14:schemeClr w14:val="tx1">
                      <w14:lumMod w14:val="95000"/>
                      <w14:lumOff w14:val="5000"/>
                    </w14:schemeClr>
                  </w14:solidFill>
                </w14:textFill>
              </w:rPr>
              <w:t>2025年</w:t>
            </w:r>
            <w:r>
              <w:rPr>
                <w:rFonts w:hint="eastAsia" w:ascii="宋体" w:hAnsi="宋体" w:cs="宋体"/>
                <w:b/>
                <w:bCs/>
                <w:color w:val="0D0D0D" w:themeColor="text1" w:themeTint="F2"/>
                <w:sz w:val="21"/>
                <w:szCs w:val="21"/>
                <w:highlight w:val="none"/>
                <w:lang w:val="en-US" w:eastAsia="zh-CN"/>
                <w14:textFill>
                  <w14:solidFill>
                    <w14:schemeClr w14:val="tx1">
                      <w14:lumMod w14:val="95000"/>
                      <w14:lumOff w14:val="5000"/>
                    </w14:schemeClr>
                  </w14:solidFill>
                </w14:textFill>
              </w:rPr>
              <w:t>7</w:t>
            </w:r>
            <w:r>
              <w:rPr>
                <w:rFonts w:hint="eastAsia" w:ascii="宋体" w:hAnsi="宋体" w:eastAsia="宋体" w:cs="宋体"/>
                <w:b/>
                <w:bCs/>
                <w:color w:val="0D0D0D" w:themeColor="text1" w:themeTint="F2"/>
                <w:sz w:val="21"/>
                <w:szCs w:val="21"/>
                <w:highlight w:val="none"/>
                <w14:textFill>
                  <w14:solidFill>
                    <w14:schemeClr w14:val="tx1">
                      <w14:lumMod w14:val="95000"/>
                      <w14:lumOff w14:val="5000"/>
                    </w14:schemeClr>
                  </w14:solidFill>
                </w14:textFill>
              </w:rPr>
              <w:t>月</w:t>
            </w:r>
            <w:r>
              <w:rPr>
                <w:rFonts w:hint="eastAsia" w:ascii="宋体" w:hAnsi="宋体" w:eastAsia="宋体" w:cs="宋体"/>
                <w:b/>
                <w:bCs/>
                <w:color w:val="0D0D0D" w:themeColor="text1" w:themeTint="F2"/>
                <w:sz w:val="21"/>
                <w:szCs w:val="21"/>
                <w:highlight w:val="none"/>
                <w:u w:val="single"/>
                <w14:textFill>
                  <w14:solidFill>
                    <w14:schemeClr w14:val="tx1">
                      <w14:lumMod w14:val="95000"/>
                      <w14:lumOff w14:val="5000"/>
                    </w14:schemeClr>
                  </w14:solidFill>
                </w14:textFill>
              </w:rPr>
              <w:t xml:space="preserve"> </w:t>
            </w:r>
            <w:r>
              <w:rPr>
                <w:rFonts w:hint="eastAsia" w:ascii="宋体" w:hAnsi="宋体" w:cs="宋体"/>
                <w:b/>
                <w:bCs/>
                <w:color w:val="0D0D0D" w:themeColor="text1" w:themeTint="F2"/>
                <w:sz w:val="21"/>
                <w:szCs w:val="21"/>
                <w:highlight w:val="none"/>
                <w:u w:val="single"/>
                <w:lang w:val="en-US" w:eastAsia="zh-CN"/>
                <w14:textFill>
                  <w14:solidFill>
                    <w14:schemeClr w14:val="tx1">
                      <w14:lumMod w14:val="95000"/>
                      <w14:lumOff w14:val="5000"/>
                    </w14:schemeClr>
                  </w14:solidFill>
                </w14:textFill>
              </w:rPr>
              <w:t>7</w:t>
            </w:r>
            <w:r>
              <w:rPr>
                <w:rFonts w:hint="eastAsia" w:ascii="宋体" w:hAnsi="宋体" w:eastAsia="宋体" w:cs="宋体"/>
                <w:b/>
                <w:bCs/>
                <w:color w:val="0D0D0D" w:themeColor="text1" w:themeTint="F2"/>
                <w:sz w:val="21"/>
                <w:szCs w:val="21"/>
                <w:highlight w:val="none"/>
                <w:u w:val="single"/>
                <w14:textFill>
                  <w14:solidFill>
                    <w14:schemeClr w14:val="tx1">
                      <w14:lumMod w14:val="95000"/>
                      <w14:lumOff w14:val="5000"/>
                    </w14:schemeClr>
                  </w14:solidFill>
                </w14:textFill>
              </w:rPr>
              <w:t xml:space="preserve"> </w:t>
            </w:r>
            <w:r>
              <w:rPr>
                <w:rFonts w:hint="eastAsia" w:ascii="宋体" w:hAnsi="宋体" w:eastAsia="宋体" w:cs="宋体"/>
                <w:b/>
                <w:bCs/>
                <w:color w:val="0D0D0D" w:themeColor="text1" w:themeTint="F2"/>
                <w:sz w:val="21"/>
                <w:szCs w:val="21"/>
                <w:highlight w:val="none"/>
                <w14:textFill>
                  <w14:solidFill>
                    <w14:schemeClr w14:val="tx1">
                      <w14:lumMod w14:val="95000"/>
                      <w14:lumOff w14:val="5000"/>
                    </w14:schemeClr>
                  </w14:solidFill>
                </w14:textFill>
              </w:rPr>
              <w:t>日</w:t>
            </w:r>
            <w:r>
              <w:rPr>
                <w:rFonts w:hint="eastAsia" w:ascii="宋体" w:hAnsi="宋体" w:eastAsia="宋体" w:cs="宋体"/>
                <w:b/>
                <w:bCs/>
                <w:color w:val="0D0D0D" w:themeColor="text1" w:themeTint="F2"/>
                <w:sz w:val="21"/>
                <w:szCs w:val="21"/>
                <w:highlight w:val="none"/>
                <w:u w:val="single"/>
                <w14:textFill>
                  <w14:solidFill>
                    <w14:schemeClr w14:val="tx1">
                      <w14:lumMod w14:val="95000"/>
                      <w14:lumOff w14:val="5000"/>
                    </w14:schemeClr>
                  </w14:solidFill>
                </w14:textFill>
              </w:rPr>
              <w:t xml:space="preserve">   </w:t>
            </w:r>
            <w:r>
              <w:rPr>
                <w:rFonts w:hint="eastAsia" w:ascii="宋体" w:hAnsi="宋体" w:cs="宋体"/>
                <w:b/>
                <w:bCs/>
                <w:color w:val="0D0D0D" w:themeColor="text1" w:themeTint="F2"/>
                <w:sz w:val="21"/>
                <w:szCs w:val="21"/>
                <w:highlight w:val="none"/>
                <w:u w:val="single"/>
                <w:lang w:val="en-US" w:eastAsia="zh-CN"/>
                <w14:textFill>
                  <w14:solidFill>
                    <w14:schemeClr w14:val="tx1">
                      <w14:lumMod w14:val="95000"/>
                      <w14:lumOff w14:val="5000"/>
                    </w14:schemeClr>
                  </w14:solidFill>
                </w14:textFill>
              </w:rPr>
              <w:t>9</w:t>
            </w:r>
            <w:r>
              <w:rPr>
                <w:rFonts w:hint="eastAsia" w:ascii="宋体" w:hAnsi="宋体" w:eastAsia="宋体" w:cs="宋体"/>
                <w:b/>
                <w:bCs/>
                <w:color w:val="0D0D0D" w:themeColor="text1" w:themeTint="F2"/>
                <w:sz w:val="21"/>
                <w:szCs w:val="21"/>
                <w:highlight w:val="none"/>
                <w:u w:val="single"/>
                <w14:textFill>
                  <w14:solidFill>
                    <w14:schemeClr w14:val="tx1">
                      <w14:lumMod w14:val="95000"/>
                      <w14:lumOff w14:val="5000"/>
                    </w14:schemeClr>
                  </w14:solidFill>
                </w14:textFill>
              </w:rPr>
              <w:t xml:space="preserve"> </w:t>
            </w:r>
            <w:r>
              <w:rPr>
                <w:rFonts w:hint="eastAsia" w:ascii="宋体" w:hAnsi="宋体" w:eastAsia="宋体" w:cs="宋体"/>
                <w:b/>
                <w:bCs/>
                <w:color w:val="0D0D0D" w:themeColor="text1" w:themeTint="F2"/>
                <w:sz w:val="21"/>
                <w:szCs w:val="21"/>
                <w:highlight w:val="none"/>
                <w14:textFill>
                  <w14:solidFill>
                    <w14:schemeClr w14:val="tx1">
                      <w14:lumMod w14:val="95000"/>
                      <w14:lumOff w14:val="5000"/>
                    </w14:schemeClr>
                  </w14:solidFill>
                </w14:textFill>
              </w:rPr>
              <w:t>时</w:t>
            </w:r>
            <w:r>
              <w:rPr>
                <w:rFonts w:hint="eastAsia" w:ascii="宋体" w:hAnsi="宋体" w:eastAsia="宋体" w:cs="宋体"/>
                <w:b/>
                <w:bCs/>
                <w:color w:val="0D0D0D" w:themeColor="text1" w:themeTint="F2"/>
                <w:sz w:val="21"/>
                <w:szCs w:val="21"/>
                <w:highlight w:val="none"/>
                <w:u w:val="single"/>
                <w14:textFill>
                  <w14:solidFill>
                    <w14:schemeClr w14:val="tx1">
                      <w14:lumMod w14:val="95000"/>
                      <w14:lumOff w14:val="5000"/>
                    </w14:schemeClr>
                  </w14:solidFill>
                </w14:textFill>
              </w:rPr>
              <w:t xml:space="preserve">  </w:t>
            </w:r>
            <w:r>
              <w:rPr>
                <w:rFonts w:hint="eastAsia" w:ascii="宋体" w:hAnsi="宋体" w:cs="宋体"/>
                <w:b/>
                <w:bCs/>
                <w:color w:val="0D0D0D" w:themeColor="text1" w:themeTint="F2"/>
                <w:sz w:val="21"/>
                <w:szCs w:val="21"/>
                <w:highlight w:val="none"/>
                <w:u w:val="single"/>
                <w:lang w:val="en-US" w:eastAsia="zh-CN"/>
                <w14:textFill>
                  <w14:solidFill>
                    <w14:schemeClr w14:val="tx1">
                      <w14:lumMod w14:val="95000"/>
                      <w14:lumOff w14:val="5000"/>
                    </w14:schemeClr>
                  </w14:solidFill>
                </w14:textFill>
              </w:rPr>
              <w:t>30</w:t>
            </w:r>
            <w:r>
              <w:rPr>
                <w:rFonts w:hint="eastAsia" w:ascii="宋体" w:hAnsi="宋体" w:eastAsia="宋体" w:cs="宋体"/>
                <w:b/>
                <w:bCs/>
                <w:color w:val="0D0D0D" w:themeColor="text1" w:themeTint="F2"/>
                <w:sz w:val="21"/>
                <w:szCs w:val="21"/>
                <w:highlight w:val="none"/>
                <w:u w:val="single"/>
                <w14:textFill>
                  <w14:solidFill>
                    <w14:schemeClr w14:val="tx1">
                      <w14:lumMod w14:val="95000"/>
                      <w14:lumOff w14:val="5000"/>
                    </w14:schemeClr>
                  </w14:solidFill>
                </w14:textFill>
              </w:rPr>
              <w:t xml:space="preserve"> </w:t>
            </w:r>
            <w:r>
              <w:rPr>
                <w:rFonts w:hint="eastAsia" w:ascii="宋体" w:hAnsi="宋体" w:eastAsia="宋体" w:cs="宋体"/>
                <w:b/>
                <w:bCs/>
                <w:color w:val="0D0D0D" w:themeColor="text1" w:themeTint="F2"/>
                <w:sz w:val="21"/>
                <w:szCs w:val="21"/>
                <w:highlight w:val="none"/>
                <w14:textFill>
                  <w14:solidFill>
                    <w14:schemeClr w14:val="tx1">
                      <w14:lumMod w14:val="95000"/>
                      <w14:lumOff w14:val="5000"/>
                    </w14:schemeClr>
                  </w14:solidFill>
                </w14:textFill>
              </w:rPr>
              <w:t>分</w:t>
            </w:r>
          </w:p>
          <w:p w14:paraId="5F5AEB06">
            <w:pPr>
              <w:spacing w:line="400" w:lineRule="exact"/>
              <w:jc w:val="left"/>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提交地点：</w:t>
            </w:r>
            <w:r>
              <w:rPr>
                <w:rFonts w:hint="eastAsia" w:ascii="宋体" w:hAnsi="宋体" w:eastAsia="宋体" w:cs="宋体"/>
                <w:b/>
                <w:bCs/>
                <w:color w:val="0D0D0D" w:themeColor="text1" w:themeTint="F2"/>
                <w:kern w:val="0"/>
                <w:sz w:val="21"/>
                <w:szCs w:val="21"/>
                <w:highlight w:val="none"/>
                <w14:textFill>
                  <w14:solidFill>
                    <w14:schemeClr w14:val="tx1">
                      <w14:lumMod w14:val="95000"/>
                      <w14:lumOff w14:val="5000"/>
                    </w14:schemeClr>
                  </w14:solidFill>
                </w14:textFill>
              </w:rPr>
              <w:t>南通市通州区江海圆融汇1号楼1</w:t>
            </w:r>
            <w:r>
              <w:rPr>
                <w:rFonts w:hint="eastAsia" w:ascii="宋体" w:hAnsi="宋体" w:eastAsia="宋体" w:cs="宋体"/>
                <w:b/>
                <w:bCs/>
                <w:color w:val="0D0D0D" w:themeColor="text1" w:themeTint="F2"/>
                <w:kern w:val="0"/>
                <w:sz w:val="21"/>
                <w:szCs w:val="21"/>
                <w:highlight w:val="none"/>
                <w:lang w:val="en-US" w:eastAsia="zh-CN"/>
                <w14:textFill>
                  <w14:solidFill>
                    <w14:schemeClr w14:val="tx1">
                      <w14:lumMod w14:val="95000"/>
                      <w14:lumOff w14:val="5000"/>
                    </w14:schemeClr>
                  </w14:solidFill>
                </w14:textFill>
              </w:rPr>
              <w:t>6</w:t>
            </w:r>
            <w:r>
              <w:rPr>
                <w:rFonts w:hint="eastAsia" w:ascii="宋体" w:hAnsi="宋体" w:eastAsia="宋体" w:cs="宋体"/>
                <w:b/>
                <w:bCs/>
                <w:color w:val="0D0D0D" w:themeColor="text1" w:themeTint="F2"/>
                <w:kern w:val="0"/>
                <w:sz w:val="21"/>
                <w:szCs w:val="21"/>
                <w:highlight w:val="none"/>
                <w14:textFill>
                  <w14:solidFill>
                    <w14:schemeClr w14:val="tx1">
                      <w14:lumMod w14:val="95000"/>
                      <w14:lumOff w14:val="5000"/>
                    </w14:schemeClr>
                  </w14:solidFill>
                </w14:textFill>
              </w:rPr>
              <w:t>楼1</w:t>
            </w:r>
            <w:r>
              <w:rPr>
                <w:rFonts w:hint="eastAsia" w:ascii="宋体" w:hAnsi="宋体" w:eastAsia="宋体" w:cs="宋体"/>
                <w:b/>
                <w:bCs/>
                <w:color w:val="0D0D0D" w:themeColor="text1" w:themeTint="F2"/>
                <w:kern w:val="0"/>
                <w:sz w:val="21"/>
                <w:szCs w:val="21"/>
                <w:highlight w:val="none"/>
                <w:lang w:val="en-US" w:eastAsia="zh-CN"/>
                <w14:textFill>
                  <w14:solidFill>
                    <w14:schemeClr w14:val="tx1">
                      <w14:lumMod w14:val="95000"/>
                      <w14:lumOff w14:val="5000"/>
                    </w14:schemeClr>
                  </w14:solidFill>
                </w14:textFill>
              </w:rPr>
              <w:t>610</w:t>
            </w:r>
            <w:r>
              <w:rPr>
                <w:rFonts w:hint="eastAsia" w:ascii="宋体" w:hAnsi="宋体" w:eastAsia="宋体" w:cs="宋体"/>
                <w:b/>
                <w:bCs/>
                <w:color w:val="0D0D0D" w:themeColor="text1" w:themeTint="F2"/>
                <w:kern w:val="0"/>
                <w:sz w:val="21"/>
                <w:szCs w:val="21"/>
                <w:highlight w:val="none"/>
                <w14:textFill>
                  <w14:solidFill>
                    <w14:schemeClr w14:val="tx1">
                      <w14:lumMod w14:val="95000"/>
                      <w14:lumOff w14:val="5000"/>
                    </w14:schemeClr>
                  </w14:solidFill>
                </w14:textFill>
              </w:rPr>
              <w:t>开标室</w:t>
            </w:r>
          </w:p>
        </w:tc>
      </w:tr>
      <w:tr w14:paraId="6ECD32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709" w:type="dxa"/>
            <w:vAlign w:val="center"/>
          </w:tcPr>
          <w:p w14:paraId="4C4A0347">
            <w:pPr>
              <w:spacing w:line="400" w:lineRule="exact"/>
              <w:jc w:val="cente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13</w:t>
            </w:r>
          </w:p>
        </w:tc>
        <w:tc>
          <w:tcPr>
            <w:tcW w:w="2161" w:type="dxa"/>
            <w:vAlign w:val="center"/>
          </w:tcPr>
          <w:p w14:paraId="0D9CBDEC">
            <w:pPr>
              <w:spacing w:line="400" w:lineRule="exact"/>
              <w:jc w:val="cente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开标时间</w:t>
            </w:r>
          </w:p>
        </w:tc>
        <w:tc>
          <w:tcPr>
            <w:tcW w:w="6788" w:type="dxa"/>
            <w:vAlign w:val="center"/>
          </w:tcPr>
          <w:p w14:paraId="6D231FBE">
            <w:pPr>
              <w:spacing w:line="400" w:lineRule="exact"/>
              <w:jc w:val="left"/>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开标时间：</w:t>
            </w:r>
            <w:r>
              <w:rPr>
                <w:rFonts w:hint="eastAsia" w:ascii="宋体" w:hAnsi="宋体" w:eastAsia="宋体" w:cs="宋体"/>
                <w:b/>
                <w:bCs/>
                <w:color w:val="0D0D0D" w:themeColor="text1" w:themeTint="F2"/>
                <w:sz w:val="21"/>
                <w:szCs w:val="21"/>
                <w:highlight w:val="none"/>
                <w14:textFill>
                  <w14:solidFill>
                    <w14:schemeClr w14:val="tx1">
                      <w14:lumMod w14:val="95000"/>
                      <w14:lumOff w14:val="5000"/>
                    </w14:schemeClr>
                  </w14:solidFill>
                </w14:textFill>
              </w:rPr>
              <w:t>2025年</w:t>
            </w:r>
            <w:r>
              <w:rPr>
                <w:rFonts w:hint="eastAsia" w:ascii="宋体" w:hAnsi="宋体" w:cs="宋体"/>
                <w:b/>
                <w:bCs/>
                <w:color w:val="0D0D0D" w:themeColor="text1" w:themeTint="F2"/>
                <w:sz w:val="21"/>
                <w:szCs w:val="21"/>
                <w:highlight w:val="none"/>
                <w:lang w:val="en-US" w:eastAsia="zh-CN"/>
                <w14:textFill>
                  <w14:solidFill>
                    <w14:schemeClr w14:val="tx1">
                      <w14:lumMod w14:val="95000"/>
                      <w14:lumOff w14:val="5000"/>
                    </w14:schemeClr>
                  </w14:solidFill>
                </w14:textFill>
              </w:rPr>
              <w:t>7</w:t>
            </w:r>
            <w:r>
              <w:rPr>
                <w:rFonts w:hint="eastAsia" w:ascii="宋体" w:hAnsi="宋体" w:eastAsia="宋体" w:cs="宋体"/>
                <w:b/>
                <w:bCs/>
                <w:color w:val="0D0D0D" w:themeColor="text1" w:themeTint="F2"/>
                <w:sz w:val="21"/>
                <w:szCs w:val="21"/>
                <w:highlight w:val="none"/>
                <w14:textFill>
                  <w14:solidFill>
                    <w14:schemeClr w14:val="tx1">
                      <w14:lumMod w14:val="95000"/>
                      <w14:lumOff w14:val="5000"/>
                    </w14:schemeClr>
                  </w14:solidFill>
                </w14:textFill>
              </w:rPr>
              <w:t>月</w:t>
            </w:r>
            <w:r>
              <w:rPr>
                <w:rFonts w:hint="eastAsia" w:ascii="宋体" w:hAnsi="宋体" w:eastAsia="宋体" w:cs="宋体"/>
                <w:b/>
                <w:bCs/>
                <w:color w:val="0D0D0D" w:themeColor="text1" w:themeTint="F2"/>
                <w:sz w:val="21"/>
                <w:szCs w:val="21"/>
                <w:highlight w:val="none"/>
                <w:u w:val="single"/>
                <w14:textFill>
                  <w14:solidFill>
                    <w14:schemeClr w14:val="tx1">
                      <w14:lumMod w14:val="95000"/>
                      <w14:lumOff w14:val="5000"/>
                    </w14:schemeClr>
                  </w14:solidFill>
                </w14:textFill>
              </w:rPr>
              <w:t xml:space="preserve">  </w:t>
            </w:r>
            <w:r>
              <w:rPr>
                <w:rFonts w:hint="eastAsia" w:ascii="宋体" w:hAnsi="宋体" w:cs="宋体"/>
                <w:b/>
                <w:bCs/>
                <w:color w:val="0D0D0D" w:themeColor="text1" w:themeTint="F2"/>
                <w:sz w:val="21"/>
                <w:szCs w:val="21"/>
                <w:highlight w:val="none"/>
                <w:u w:val="single"/>
                <w:lang w:val="en-US" w:eastAsia="zh-CN"/>
                <w14:textFill>
                  <w14:solidFill>
                    <w14:schemeClr w14:val="tx1">
                      <w14:lumMod w14:val="95000"/>
                      <w14:lumOff w14:val="5000"/>
                    </w14:schemeClr>
                  </w14:solidFill>
                </w14:textFill>
              </w:rPr>
              <w:t>7</w:t>
            </w:r>
            <w:r>
              <w:rPr>
                <w:rFonts w:hint="eastAsia" w:ascii="宋体" w:hAnsi="宋体" w:eastAsia="宋体" w:cs="宋体"/>
                <w:b/>
                <w:bCs/>
                <w:color w:val="0D0D0D" w:themeColor="text1" w:themeTint="F2"/>
                <w:sz w:val="21"/>
                <w:szCs w:val="21"/>
                <w:highlight w:val="none"/>
                <w:u w:val="single"/>
                <w14:textFill>
                  <w14:solidFill>
                    <w14:schemeClr w14:val="tx1">
                      <w14:lumMod w14:val="95000"/>
                      <w14:lumOff w14:val="5000"/>
                    </w14:schemeClr>
                  </w14:solidFill>
                </w14:textFill>
              </w:rPr>
              <w:t xml:space="preserve"> </w:t>
            </w:r>
            <w:r>
              <w:rPr>
                <w:rFonts w:hint="eastAsia" w:ascii="宋体" w:hAnsi="宋体" w:eastAsia="宋体" w:cs="宋体"/>
                <w:b/>
                <w:bCs/>
                <w:color w:val="0D0D0D" w:themeColor="text1" w:themeTint="F2"/>
                <w:sz w:val="21"/>
                <w:szCs w:val="21"/>
                <w:highlight w:val="none"/>
                <w14:textFill>
                  <w14:solidFill>
                    <w14:schemeClr w14:val="tx1">
                      <w14:lumMod w14:val="95000"/>
                      <w14:lumOff w14:val="5000"/>
                    </w14:schemeClr>
                  </w14:solidFill>
                </w14:textFill>
              </w:rPr>
              <w:t>日</w:t>
            </w:r>
            <w:r>
              <w:rPr>
                <w:rFonts w:hint="eastAsia" w:ascii="宋体" w:hAnsi="宋体" w:eastAsia="宋体" w:cs="宋体"/>
                <w:b/>
                <w:bCs/>
                <w:color w:val="0D0D0D" w:themeColor="text1" w:themeTint="F2"/>
                <w:sz w:val="21"/>
                <w:szCs w:val="21"/>
                <w:highlight w:val="none"/>
                <w:u w:val="single"/>
                <w14:textFill>
                  <w14:solidFill>
                    <w14:schemeClr w14:val="tx1">
                      <w14:lumMod w14:val="95000"/>
                      <w14:lumOff w14:val="5000"/>
                    </w14:schemeClr>
                  </w14:solidFill>
                </w14:textFill>
              </w:rPr>
              <w:t xml:space="preserve">   </w:t>
            </w:r>
            <w:r>
              <w:rPr>
                <w:rFonts w:hint="eastAsia" w:ascii="宋体" w:hAnsi="宋体" w:cs="宋体"/>
                <w:b/>
                <w:bCs/>
                <w:color w:val="0D0D0D" w:themeColor="text1" w:themeTint="F2"/>
                <w:sz w:val="21"/>
                <w:szCs w:val="21"/>
                <w:highlight w:val="none"/>
                <w:u w:val="single"/>
                <w:lang w:val="en-US" w:eastAsia="zh-CN"/>
                <w14:textFill>
                  <w14:solidFill>
                    <w14:schemeClr w14:val="tx1">
                      <w14:lumMod w14:val="95000"/>
                      <w14:lumOff w14:val="5000"/>
                    </w14:schemeClr>
                  </w14:solidFill>
                </w14:textFill>
              </w:rPr>
              <w:t>9</w:t>
            </w:r>
            <w:r>
              <w:rPr>
                <w:rFonts w:hint="eastAsia" w:ascii="宋体" w:hAnsi="宋体" w:eastAsia="宋体" w:cs="宋体"/>
                <w:b/>
                <w:bCs/>
                <w:color w:val="0D0D0D" w:themeColor="text1" w:themeTint="F2"/>
                <w:sz w:val="21"/>
                <w:szCs w:val="21"/>
                <w:highlight w:val="none"/>
                <w:u w:val="single"/>
                <w14:textFill>
                  <w14:solidFill>
                    <w14:schemeClr w14:val="tx1">
                      <w14:lumMod w14:val="95000"/>
                      <w14:lumOff w14:val="5000"/>
                    </w14:schemeClr>
                  </w14:solidFill>
                </w14:textFill>
              </w:rPr>
              <w:t xml:space="preserve">  </w:t>
            </w:r>
            <w:r>
              <w:rPr>
                <w:rFonts w:hint="eastAsia" w:ascii="宋体" w:hAnsi="宋体" w:eastAsia="宋体" w:cs="宋体"/>
                <w:b/>
                <w:bCs/>
                <w:color w:val="0D0D0D" w:themeColor="text1" w:themeTint="F2"/>
                <w:sz w:val="21"/>
                <w:szCs w:val="21"/>
                <w:highlight w:val="none"/>
                <w14:textFill>
                  <w14:solidFill>
                    <w14:schemeClr w14:val="tx1">
                      <w14:lumMod w14:val="95000"/>
                      <w14:lumOff w14:val="5000"/>
                    </w14:schemeClr>
                  </w14:solidFill>
                </w14:textFill>
              </w:rPr>
              <w:t>时</w:t>
            </w:r>
            <w:r>
              <w:rPr>
                <w:rFonts w:hint="eastAsia" w:ascii="宋体" w:hAnsi="宋体" w:eastAsia="宋体" w:cs="宋体"/>
                <w:b/>
                <w:bCs/>
                <w:color w:val="0D0D0D" w:themeColor="text1" w:themeTint="F2"/>
                <w:sz w:val="21"/>
                <w:szCs w:val="21"/>
                <w:highlight w:val="none"/>
                <w:u w:val="single"/>
                <w14:textFill>
                  <w14:solidFill>
                    <w14:schemeClr w14:val="tx1">
                      <w14:lumMod w14:val="95000"/>
                      <w14:lumOff w14:val="5000"/>
                    </w14:schemeClr>
                  </w14:solidFill>
                </w14:textFill>
              </w:rPr>
              <w:t xml:space="preserve">  </w:t>
            </w:r>
            <w:r>
              <w:rPr>
                <w:rFonts w:hint="eastAsia" w:ascii="宋体" w:hAnsi="宋体" w:cs="宋体"/>
                <w:b/>
                <w:bCs/>
                <w:color w:val="0D0D0D" w:themeColor="text1" w:themeTint="F2"/>
                <w:sz w:val="21"/>
                <w:szCs w:val="21"/>
                <w:highlight w:val="none"/>
                <w:u w:val="single"/>
                <w:lang w:val="en-US" w:eastAsia="zh-CN"/>
                <w14:textFill>
                  <w14:solidFill>
                    <w14:schemeClr w14:val="tx1">
                      <w14:lumMod w14:val="95000"/>
                      <w14:lumOff w14:val="5000"/>
                    </w14:schemeClr>
                  </w14:solidFill>
                </w14:textFill>
              </w:rPr>
              <w:t>30</w:t>
            </w:r>
            <w:r>
              <w:rPr>
                <w:rFonts w:hint="eastAsia" w:ascii="宋体" w:hAnsi="宋体" w:eastAsia="宋体" w:cs="宋体"/>
                <w:b/>
                <w:bCs/>
                <w:color w:val="0D0D0D" w:themeColor="text1" w:themeTint="F2"/>
                <w:sz w:val="21"/>
                <w:szCs w:val="21"/>
                <w:highlight w:val="none"/>
                <w:u w:val="single"/>
                <w14:textFill>
                  <w14:solidFill>
                    <w14:schemeClr w14:val="tx1">
                      <w14:lumMod w14:val="95000"/>
                      <w14:lumOff w14:val="5000"/>
                    </w14:schemeClr>
                  </w14:solidFill>
                </w14:textFill>
              </w:rPr>
              <w:t xml:space="preserve"> </w:t>
            </w:r>
            <w:r>
              <w:rPr>
                <w:rFonts w:hint="eastAsia" w:ascii="宋体" w:hAnsi="宋体" w:eastAsia="宋体" w:cs="宋体"/>
                <w:b/>
                <w:bCs/>
                <w:color w:val="0D0D0D" w:themeColor="text1" w:themeTint="F2"/>
                <w:sz w:val="21"/>
                <w:szCs w:val="21"/>
                <w:highlight w:val="none"/>
                <w14:textFill>
                  <w14:solidFill>
                    <w14:schemeClr w14:val="tx1">
                      <w14:lumMod w14:val="95000"/>
                      <w14:lumOff w14:val="5000"/>
                    </w14:schemeClr>
                  </w14:solidFill>
                </w14:textFill>
              </w:rPr>
              <w:t>分</w:t>
            </w:r>
          </w:p>
        </w:tc>
      </w:tr>
      <w:tr w14:paraId="490A56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709" w:type="dxa"/>
            <w:vAlign w:val="center"/>
          </w:tcPr>
          <w:p w14:paraId="03A41E79">
            <w:pPr>
              <w:spacing w:line="400" w:lineRule="exact"/>
              <w:jc w:val="cente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14</w:t>
            </w:r>
          </w:p>
        </w:tc>
        <w:tc>
          <w:tcPr>
            <w:tcW w:w="2161" w:type="dxa"/>
            <w:vAlign w:val="center"/>
          </w:tcPr>
          <w:p w14:paraId="78A0D8C5">
            <w:pPr>
              <w:spacing w:line="400" w:lineRule="exact"/>
              <w:jc w:val="cente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最高限价</w:t>
            </w:r>
          </w:p>
        </w:tc>
        <w:tc>
          <w:tcPr>
            <w:tcW w:w="6788" w:type="dxa"/>
            <w:vAlign w:val="center"/>
          </w:tcPr>
          <w:p w14:paraId="4E9F3EE3">
            <w:pPr>
              <w:widowControl/>
              <w:spacing w:line="400" w:lineRule="exact"/>
              <w:jc w:val="left"/>
              <w:rPr>
                <w:rFonts w:hint="eastAsia" w:ascii="宋体" w:hAnsi="宋体" w:eastAsia="宋体" w:cs="宋体"/>
                <w:b/>
                <w:kern w:val="0"/>
                <w:sz w:val="21"/>
                <w:szCs w:val="21"/>
                <w:highlight w:val="none"/>
                <w:lang w:val="en-US" w:eastAsia="zh-CN"/>
              </w:rPr>
            </w:pPr>
            <w:r>
              <w:rPr>
                <w:rFonts w:hint="eastAsia" w:ascii="宋体" w:hAnsi="宋体" w:eastAsia="宋体" w:cs="宋体"/>
                <w:b/>
                <w:kern w:val="0"/>
                <w:sz w:val="21"/>
                <w:szCs w:val="21"/>
                <w:highlight w:val="none"/>
              </w:rPr>
              <w:t>人民币</w:t>
            </w:r>
            <w:r>
              <w:rPr>
                <w:rFonts w:hint="eastAsia" w:ascii="宋体" w:hAnsi="宋体" w:eastAsia="宋体" w:cs="宋体"/>
                <w:b/>
                <w:kern w:val="0"/>
                <w:sz w:val="21"/>
                <w:szCs w:val="21"/>
                <w:highlight w:val="none"/>
                <w:lang w:val="en-US" w:eastAsia="zh-CN"/>
              </w:rPr>
              <w:t>6.86</w:t>
            </w:r>
            <w:r>
              <w:rPr>
                <w:rFonts w:hint="eastAsia" w:ascii="宋体" w:hAnsi="宋体" w:eastAsia="宋体" w:cs="宋体"/>
                <w:b/>
                <w:kern w:val="0"/>
                <w:sz w:val="21"/>
                <w:szCs w:val="21"/>
                <w:highlight w:val="none"/>
              </w:rPr>
              <w:t>万元</w:t>
            </w:r>
            <w:r>
              <w:rPr>
                <w:rFonts w:hint="eastAsia" w:ascii="宋体" w:hAnsi="宋体" w:eastAsia="宋体" w:cs="宋体"/>
                <w:b/>
                <w:kern w:val="0"/>
                <w:sz w:val="21"/>
                <w:szCs w:val="21"/>
                <w:highlight w:val="none"/>
                <w:lang w:eastAsia="zh-CN"/>
              </w:rPr>
              <w:t>（</w:t>
            </w:r>
            <w:r>
              <w:rPr>
                <w:rFonts w:hint="eastAsia" w:ascii="宋体" w:hAnsi="宋体" w:eastAsia="宋体" w:cs="宋体"/>
                <w:b/>
                <w:kern w:val="0"/>
                <w:sz w:val="21"/>
                <w:szCs w:val="21"/>
                <w:highlight w:val="none"/>
                <w:lang w:val="en-US" w:eastAsia="zh-CN"/>
              </w:rPr>
              <w:t>总价不得高于最高限价，否则作废标处理）</w:t>
            </w:r>
          </w:p>
        </w:tc>
      </w:tr>
      <w:tr w14:paraId="0C1B9A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709" w:type="dxa"/>
            <w:vAlign w:val="center"/>
          </w:tcPr>
          <w:p w14:paraId="1137E51A">
            <w:pPr>
              <w:spacing w:line="400" w:lineRule="exact"/>
              <w:jc w:val="cente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15</w:t>
            </w:r>
          </w:p>
        </w:tc>
        <w:tc>
          <w:tcPr>
            <w:tcW w:w="2161" w:type="dxa"/>
            <w:vAlign w:val="center"/>
          </w:tcPr>
          <w:p w14:paraId="6B8B671B">
            <w:pPr>
              <w:spacing w:line="400" w:lineRule="exact"/>
              <w:jc w:val="cente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履约保证金</w:t>
            </w:r>
          </w:p>
        </w:tc>
        <w:tc>
          <w:tcPr>
            <w:tcW w:w="6788" w:type="dxa"/>
            <w:vAlign w:val="center"/>
          </w:tcPr>
          <w:p w14:paraId="49F4242C">
            <w:pPr>
              <w:spacing w:line="400" w:lineRule="exact"/>
              <w:jc w:val="left"/>
              <w:rPr>
                <w:rFonts w:hint="eastAsia" w:ascii="宋体" w:hAnsi="宋体" w:eastAsia="宋体" w:cs="宋体"/>
                <w:color w:val="0D0D0D" w:themeColor="text1" w:themeTint="F2"/>
                <w:kern w:val="0"/>
                <w:sz w:val="21"/>
                <w:szCs w:val="21"/>
                <w:highlight w:val="none"/>
                <w14:textFill>
                  <w14:solidFill>
                    <w14:schemeClr w14:val="tx1">
                      <w14:lumMod w14:val="95000"/>
                      <w14:lumOff w14:val="5000"/>
                    </w14:schemeClr>
                  </w14:solidFill>
                </w14:textFill>
              </w:rPr>
            </w:pPr>
            <w:r>
              <w:rPr>
                <w:rFonts w:hint="eastAsia" w:ascii="宋体" w:hAnsi="宋体" w:eastAsia="宋体" w:cs="宋体"/>
                <w:kern w:val="0"/>
                <w:sz w:val="21"/>
                <w:szCs w:val="21"/>
                <w:highlight w:val="none"/>
              </w:rPr>
              <w:t>合同价款的10%</w:t>
            </w:r>
          </w:p>
        </w:tc>
      </w:tr>
      <w:tr w14:paraId="4AB424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9" w:hRule="atLeast"/>
        </w:trPr>
        <w:tc>
          <w:tcPr>
            <w:tcW w:w="709" w:type="dxa"/>
            <w:vAlign w:val="center"/>
          </w:tcPr>
          <w:p w14:paraId="74AF1E8C">
            <w:pPr>
              <w:spacing w:line="400" w:lineRule="exact"/>
              <w:jc w:val="cente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16</w:t>
            </w:r>
          </w:p>
        </w:tc>
        <w:tc>
          <w:tcPr>
            <w:tcW w:w="2161" w:type="dxa"/>
            <w:vAlign w:val="center"/>
          </w:tcPr>
          <w:p w14:paraId="0CC857F8">
            <w:pPr>
              <w:spacing w:line="400" w:lineRule="exact"/>
              <w:jc w:val="cente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联系方式</w:t>
            </w:r>
          </w:p>
        </w:tc>
        <w:tc>
          <w:tcPr>
            <w:tcW w:w="6788" w:type="dxa"/>
            <w:vAlign w:val="center"/>
          </w:tcPr>
          <w:p w14:paraId="42933300">
            <w:pPr>
              <w:spacing w:line="400" w:lineRule="exact"/>
              <w:jc w:val="left"/>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招</w:t>
            </w:r>
            <w:r>
              <w:rPr>
                <w:rFonts w:hint="eastAsia" w:ascii="宋体" w:hAnsi="宋体" w:eastAsia="宋体" w:cs="宋体"/>
                <w:color w:val="0D0D0D" w:themeColor="text1" w:themeTint="F2"/>
                <w:sz w:val="21"/>
                <w:szCs w:val="21"/>
                <w:highlight w:val="none"/>
                <w:lang w:val="en-US" w:eastAsia="zh-CN"/>
                <w14:textFill>
                  <w14:solidFill>
                    <w14:schemeClr w14:val="tx1">
                      <w14:lumMod w14:val="95000"/>
                      <w14:lumOff w14:val="5000"/>
                    </w14:schemeClr>
                  </w14:solidFill>
                </w14:textFill>
              </w:rPr>
              <w:t xml:space="preserve"> </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标</w:t>
            </w:r>
            <w:r>
              <w:rPr>
                <w:rFonts w:hint="eastAsia" w:ascii="宋体" w:hAnsi="宋体" w:eastAsia="宋体" w:cs="宋体"/>
                <w:color w:val="0D0D0D" w:themeColor="text1" w:themeTint="F2"/>
                <w:sz w:val="21"/>
                <w:szCs w:val="21"/>
                <w:highlight w:val="none"/>
                <w:lang w:val="en-US" w:eastAsia="zh-CN"/>
                <w14:textFill>
                  <w14:solidFill>
                    <w14:schemeClr w14:val="tx1">
                      <w14:lumMod w14:val="95000"/>
                      <w14:lumOff w14:val="5000"/>
                    </w14:schemeClr>
                  </w14:solidFill>
                </w14:textFill>
              </w:rPr>
              <w:t xml:space="preserve"> </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人：南通市通州区水务有限公司</w:t>
            </w:r>
          </w:p>
          <w:p w14:paraId="6779165E">
            <w:pPr>
              <w:spacing w:line="400" w:lineRule="exact"/>
              <w:jc w:val="left"/>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地</w:t>
            </w:r>
            <w:r>
              <w:rPr>
                <w:rFonts w:hint="eastAsia" w:ascii="宋体" w:hAnsi="宋体" w:eastAsia="宋体" w:cs="宋体"/>
                <w:color w:val="0D0D0D" w:themeColor="text1" w:themeTint="F2"/>
                <w:sz w:val="21"/>
                <w:szCs w:val="21"/>
                <w:highlight w:val="none"/>
                <w:lang w:val="en-US" w:eastAsia="zh-CN"/>
                <w14:textFill>
                  <w14:solidFill>
                    <w14:schemeClr w14:val="tx1">
                      <w14:lumMod w14:val="95000"/>
                      <w14:lumOff w14:val="5000"/>
                    </w14:schemeClr>
                  </w14:solidFill>
                </w14:textFill>
              </w:rPr>
              <w:t xml:space="preserve">    </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址：南通市通州区银河桥下</w:t>
            </w:r>
          </w:p>
          <w:p w14:paraId="3D824934">
            <w:pPr>
              <w:widowControl/>
              <w:spacing w:line="400" w:lineRule="exact"/>
              <w:jc w:val="left"/>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联</w:t>
            </w:r>
            <w:r>
              <w:rPr>
                <w:rFonts w:hint="eastAsia" w:ascii="宋体" w:hAnsi="宋体" w:eastAsia="宋体" w:cs="宋体"/>
                <w:color w:val="0D0D0D" w:themeColor="text1" w:themeTint="F2"/>
                <w:sz w:val="21"/>
                <w:szCs w:val="21"/>
                <w:highlight w:val="none"/>
                <w:lang w:val="en-US" w:eastAsia="zh-CN"/>
                <w14:textFill>
                  <w14:solidFill>
                    <w14:schemeClr w14:val="tx1">
                      <w14:lumMod w14:val="95000"/>
                      <w14:lumOff w14:val="5000"/>
                    </w14:schemeClr>
                  </w14:solidFill>
                </w14:textFill>
              </w:rPr>
              <w:t xml:space="preserve"> </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系</w:t>
            </w:r>
            <w:r>
              <w:rPr>
                <w:rFonts w:hint="eastAsia" w:ascii="宋体" w:hAnsi="宋体" w:eastAsia="宋体" w:cs="宋体"/>
                <w:color w:val="0D0D0D" w:themeColor="text1" w:themeTint="F2"/>
                <w:sz w:val="21"/>
                <w:szCs w:val="21"/>
                <w:highlight w:val="none"/>
                <w:lang w:val="en-US" w:eastAsia="zh-CN"/>
                <w14:textFill>
                  <w14:solidFill>
                    <w14:schemeClr w14:val="tx1">
                      <w14:lumMod w14:val="95000"/>
                      <w14:lumOff w14:val="5000"/>
                    </w14:schemeClr>
                  </w14:solidFill>
                </w14:textFill>
              </w:rPr>
              <w:t xml:space="preserve"> </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人：曹先生　　　</w:t>
            </w:r>
          </w:p>
          <w:p w14:paraId="4600CB84">
            <w:pPr>
              <w:widowControl/>
              <w:spacing w:line="400" w:lineRule="exact"/>
              <w:jc w:val="left"/>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联系电话</w:t>
            </w:r>
            <w:r>
              <w:rPr>
                <w:rFonts w:hint="eastAsia" w:ascii="宋体" w:hAnsi="宋体" w:eastAsia="宋体" w:cs="宋体"/>
                <w:color w:val="0D0D0D" w:themeColor="text1" w:themeTint="F2"/>
                <w:sz w:val="21"/>
                <w:szCs w:val="21"/>
                <w:highlight w:val="none"/>
                <w:lang w:eastAsia="zh-CN"/>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1"/>
                <w:szCs w:val="21"/>
                <w:highlight w:val="none"/>
                <w:lang w:val="en-US" w:eastAsia="zh-CN"/>
                <w14:textFill>
                  <w14:solidFill>
                    <w14:schemeClr w14:val="tx1">
                      <w14:lumMod w14:val="95000"/>
                      <w14:lumOff w14:val="5000"/>
                    </w14:schemeClr>
                  </w14:solidFill>
                </w14:textFill>
              </w:rPr>
              <w:t>18605136022</w:t>
            </w:r>
          </w:p>
        </w:tc>
      </w:tr>
      <w:tr w14:paraId="3A8B60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trPr>
        <w:tc>
          <w:tcPr>
            <w:tcW w:w="709" w:type="dxa"/>
            <w:vAlign w:val="center"/>
          </w:tcPr>
          <w:p w14:paraId="65CDB577">
            <w:pPr>
              <w:widowControl/>
              <w:spacing w:line="400" w:lineRule="exact"/>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17</w:t>
            </w:r>
          </w:p>
        </w:tc>
        <w:tc>
          <w:tcPr>
            <w:tcW w:w="2161" w:type="dxa"/>
            <w:vAlign w:val="center"/>
          </w:tcPr>
          <w:p w14:paraId="3625E602">
            <w:pPr>
              <w:widowControl/>
              <w:spacing w:line="400" w:lineRule="exact"/>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参加开标会的</w:t>
            </w:r>
          </w:p>
          <w:p w14:paraId="6BD3884D">
            <w:pPr>
              <w:widowControl/>
              <w:spacing w:line="400" w:lineRule="exact"/>
              <w:jc w:val="center"/>
              <w:rPr>
                <w:rFonts w:hint="eastAsia" w:ascii="宋体" w:hAnsi="宋体" w:eastAsia="宋体" w:cs="宋体"/>
                <w:kern w:val="0"/>
                <w:sz w:val="21"/>
                <w:szCs w:val="21"/>
                <w:highlight w:val="none"/>
              </w:rPr>
            </w:pPr>
            <w:r>
              <w:rPr>
                <w:rFonts w:hint="eastAsia" w:ascii="宋体" w:hAnsi="宋体" w:eastAsia="宋体" w:cs="宋体"/>
                <w:sz w:val="21"/>
                <w:szCs w:val="21"/>
                <w:highlight w:val="none"/>
              </w:rPr>
              <w:t>投标人代表</w:t>
            </w:r>
          </w:p>
        </w:tc>
        <w:tc>
          <w:tcPr>
            <w:tcW w:w="6788" w:type="dxa"/>
            <w:vAlign w:val="center"/>
          </w:tcPr>
          <w:p w14:paraId="5AB6C27E">
            <w:pPr>
              <w:widowControl/>
              <w:spacing w:line="400" w:lineRule="exact"/>
              <w:rPr>
                <w:rFonts w:hint="eastAsia" w:ascii="宋体" w:hAnsi="宋体" w:eastAsia="宋体" w:cs="宋体"/>
                <w:kern w:val="0"/>
                <w:sz w:val="21"/>
                <w:szCs w:val="21"/>
                <w:highlight w:val="none"/>
              </w:rPr>
            </w:pPr>
            <w:r>
              <w:rPr>
                <w:rFonts w:hint="eastAsia" w:ascii="宋体" w:hAnsi="宋体" w:eastAsia="宋体" w:cs="宋体"/>
                <w:bCs/>
                <w:sz w:val="21"/>
                <w:szCs w:val="21"/>
                <w:highlight w:val="none"/>
              </w:rPr>
              <w:t>本项目的法人或授权委托人需出示身份证，亲自、准时参加开标会议，否则不论何原因，均视为自动弃权，其投标文件将被招标人拒绝。</w:t>
            </w:r>
          </w:p>
        </w:tc>
      </w:tr>
    </w:tbl>
    <w:p w14:paraId="39CE5E23">
      <w:pPr>
        <w:keepNext w:val="0"/>
        <w:keepLines w:val="0"/>
        <w:pageBreakBefore w:val="0"/>
        <w:widowControl w:val="0"/>
        <w:kinsoku/>
        <w:wordWrap/>
        <w:overflowPunct/>
        <w:topLinePunct w:val="0"/>
        <w:autoSpaceDE/>
        <w:autoSpaceDN/>
        <w:bidi w:val="0"/>
        <w:adjustRightInd/>
        <w:snapToGrid/>
        <w:spacing w:after="313" w:afterLines="100" w:line="440" w:lineRule="exact"/>
        <w:jc w:val="center"/>
        <w:textAlignment w:val="auto"/>
        <w:rPr>
          <w:rFonts w:hint="eastAsia" w:ascii="宋体" w:hAnsi="宋体" w:eastAsia="宋体" w:cs="宋体"/>
          <w:b/>
          <w:bCs/>
          <w:color w:val="0D0D0D" w:themeColor="text1" w:themeTint="F2"/>
          <w:sz w:val="32"/>
          <w:szCs w:val="32"/>
          <w:highlight w:val="none"/>
          <w14:textFill>
            <w14:solidFill>
              <w14:schemeClr w14:val="tx1">
                <w14:lumMod w14:val="95000"/>
                <w14:lumOff w14:val="5000"/>
              </w14:schemeClr>
            </w14:solidFill>
          </w14:textFill>
        </w:rPr>
      </w:pPr>
      <w:r>
        <w:rPr>
          <w:rFonts w:hint="eastAsia" w:ascii="宋体" w:hAnsi="宋体" w:eastAsia="宋体" w:cs="宋体"/>
          <w:b/>
          <w:bCs/>
          <w:color w:val="0D0D0D" w:themeColor="text1" w:themeTint="F2"/>
          <w:sz w:val="32"/>
          <w:szCs w:val="32"/>
          <w:highlight w:val="none"/>
          <w14:textFill>
            <w14:solidFill>
              <w14:schemeClr w14:val="tx1">
                <w14:lumMod w14:val="95000"/>
                <w14:lumOff w14:val="5000"/>
              </w14:schemeClr>
            </w14:solidFill>
          </w14:textFill>
        </w:rPr>
        <w:t>一、投标须知</w:t>
      </w:r>
    </w:p>
    <w:p w14:paraId="5CF46A09">
      <w:pPr>
        <w:keepNext w:val="0"/>
        <w:keepLines w:val="0"/>
        <w:pageBreakBefore w:val="0"/>
        <w:kinsoku/>
        <w:wordWrap/>
        <w:overflowPunct/>
        <w:topLinePunct w:val="0"/>
        <w:autoSpaceDE/>
        <w:autoSpaceDN/>
        <w:bidi w:val="0"/>
        <w:spacing w:line="400" w:lineRule="exact"/>
        <w:ind w:firstLine="472" w:firstLineChars="196"/>
        <w:textAlignment w:val="auto"/>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t>（一）投标人应具备的资格条件</w:t>
      </w:r>
    </w:p>
    <w:p w14:paraId="00B7B1D2">
      <w:pPr>
        <w:keepNext w:val="0"/>
        <w:keepLines w:val="0"/>
        <w:pageBreakBefore w:val="0"/>
        <w:kinsoku/>
        <w:wordWrap/>
        <w:overflowPunct/>
        <w:topLinePunct w:val="0"/>
        <w:autoSpaceDE/>
        <w:autoSpaceDN/>
        <w:bidi w:val="0"/>
        <w:spacing w:line="4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rPr>
        <w:t>具有独立法人资格且具有有效的企业法人营业执照；</w:t>
      </w:r>
    </w:p>
    <w:p w14:paraId="0962E3AC">
      <w:pPr>
        <w:keepNext w:val="0"/>
        <w:keepLines w:val="0"/>
        <w:pageBreakBefore w:val="0"/>
        <w:kinsoku/>
        <w:wordWrap/>
        <w:overflowPunct/>
        <w:topLinePunct w:val="0"/>
        <w:autoSpaceDE/>
        <w:autoSpaceDN/>
        <w:bidi w:val="0"/>
        <w:spacing w:line="40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2</w:t>
      </w:r>
      <w:r>
        <w:rPr>
          <w:rFonts w:hint="eastAsia" w:ascii="宋体" w:hAnsi="宋体" w:eastAsia="宋体" w:cs="宋体"/>
          <w:sz w:val="24"/>
          <w:szCs w:val="24"/>
          <w:highlight w:val="none"/>
          <w:lang w:val="en-US" w:eastAsia="zh-CN"/>
        </w:rPr>
        <w:t>.具有国家电管部门颁发的承装（修、试）电力设施许可证：承装类四级（含四级）或承修类四级（含四级）或承试类四级（含四级）及以上资质；</w:t>
      </w:r>
    </w:p>
    <w:p w14:paraId="6C72095B">
      <w:pPr>
        <w:keepNext w:val="0"/>
        <w:keepLines w:val="0"/>
        <w:pageBreakBefore w:val="0"/>
        <w:kinsoku/>
        <w:wordWrap/>
        <w:overflowPunct/>
        <w:topLinePunct w:val="0"/>
        <w:autoSpaceDE/>
        <w:autoSpaceDN/>
        <w:bidi w:val="0"/>
        <w:spacing w:line="40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3.</w:t>
      </w:r>
      <w:r>
        <w:rPr>
          <w:rFonts w:hint="eastAsia" w:ascii="宋体" w:hAnsi="宋体" w:eastAsia="宋体" w:cs="宋体"/>
          <w:kern w:val="0"/>
          <w:sz w:val="24"/>
          <w:szCs w:val="24"/>
          <w:highlight w:val="none"/>
        </w:rPr>
        <w:t>提供由有资质的第三方检测机构出具的</w:t>
      </w:r>
      <w:r>
        <w:rPr>
          <w:rFonts w:hint="eastAsia" w:ascii="宋体" w:hAnsi="宋体" w:eastAsia="宋体" w:cs="宋体"/>
          <w:kern w:val="0"/>
          <w:sz w:val="24"/>
          <w:szCs w:val="24"/>
          <w:highlight w:val="none"/>
          <w:lang w:val="en-US" w:eastAsia="zh-CN"/>
        </w:rPr>
        <w:t>产品</w:t>
      </w:r>
      <w:r>
        <w:rPr>
          <w:rFonts w:hint="eastAsia" w:ascii="宋体" w:hAnsi="宋体" w:eastAsia="宋体" w:cs="宋体"/>
          <w:sz w:val="24"/>
          <w:szCs w:val="24"/>
          <w:highlight w:val="none"/>
          <w:lang w:val="en-US" w:eastAsia="zh-CN"/>
        </w:rPr>
        <w:t>型式试验报告</w:t>
      </w:r>
      <w:r>
        <w:rPr>
          <w:rFonts w:hint="eastAsia" w:ascii="宋体" w:hAnsi="宋体" w:eastAsia="宋体" w:cs="宋体"/>
          <w:kern w:val="0"/>
          <w:sz w:val="24"/>
          <w:szCs w:val="24"/>
          <w:highlight w:val="none"/>
        </w:rPr>
        <w:t>；</w:t>
      </w:r>
    </w:p>
    <w:p w14:paraId="79E39276">
      <w:pPr>
        <w:keepNext w:val="0"/>
        <w:keepLines w:val="0"/>
        <w:pageBreakBefore w:val="0"/>
        <w:kinsoku/>
        <w:wordWrap/>
        <w:overflowPunct/>
        <w:topLinePunct w:val="0"/>
        <w:autoSpaceDE/>
        <w:autoSpaceDN/>
        <w:bidi w:val="0"/>
        <w:spacing w:line="4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rPr>
        <w:t>近三年(2022年1月1日以来，以签订合同时间为准)</w:t>
      </w:r>
      <w:r>
        <w:rPr>
          <w:rFonts w:hint="eastAsia" w:ascii="宋体" w:hAnsi="宋体" w:eastAsia="宋体" w:cs="宋体"/>
          <w:sz w:val="24"/>
          <w:szCs w:val="24"/>
          <w:highlight w:val="none"/>
          <w:lang w:val="en-US" w:eastAsia="zh-CN"/>
        </w:rPr>
        <w:t>谐波治理（含有源滤波器销售、安装、调试）</w:t>
      </w:r>
      <w:r>
        <w:rPr>
          <w:rFonts w:hint="eastAsia" w:ascii="宋体" w:hAnsi="宋体" w:eastAsia="宋体" w:cs="宋体"/>
          <w:sz w:val="24"/>
          <w:szCs w:val="24"/>
          <w:highlight w:val="none"/>
        </w:rPr>
        <w:t>类似项目业绩3个及以上(含3个，提供双方盖章合同)；</w:t>
      </w:r>
    </w:p>
    <w:p w14:paraId="00162E2C">
      <w:pPr>
        <w:keepNext w:val="0"/>
        <w:keepLines w:val="0"/>
        <w:pageBreakBefore w:val="0"/>
        <w:kinsoku/>
        <w:wordWrap/>
        <w:overflowPunct/>
        <w:topLinePunct w:val="0"/>
        <w:autoSpaceDE/>
        <w:autoSpaceDN/>
        <w:bidi w:val="0"/>
        <w:spacing w:line="4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rPr>
        <w:t>授权委托人（如有）与投标人签订的有效劳动合同或投标人为授权委托人（如有）缴纳的202</w:t>
      </w:r>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rPr>
        <w:t>年</w:t>
      </w:r>
      <w:r>
        <w:rPr>
          <w:rFonts w:hint="eastAsia" w:ascii="宋体" w:hAnsi="宋体" w:cs="宋体"/>
          <w:sz w:val="24"/>
          <w:szCs w:val="24"/>
          <w:highlight w:val="none"/>
          <w:lang w:val="en-US" w:eastAsia="zh-CN"/>
        </w:rPr>
        <w:t>3</w:t>
      </w:r>
      <w:r>
        <w:rPr>
          <w:rFonts w:hint="eastAsia" w:ascii="宋体" w:hAnsi="宋体" w:eastAsia="宋体" w:cs="宋体"/>
          <w:sz w:val="24"/>
          <w:szCs w:val="24"/>
          <w:highlight w:val="none"/>
        </w:rPr>
        <w:t>月至2025年</w:t>
      </w:r>
      <w:r>
        <w:rPr>
          <w:rFonts w:hint="eastAsia" w:ascii="宋体" w:hAnsi="宋体" w:cs="宋体"/>
          <w:sz w:val="24"/>
          <w:szCs w:val="24"/>
          <w:highlight w:val="none"/>
          <w:lang w:val="en-US" w:eastAsia="zh-CN"/>
        </w:rPr>
        <w:t>5</w:t>
      </w:r>
      <w:r>
        <w:rPr>
          <w:rFonts w:hint="eastAsia" w:ascii="宋体" w:hAnsi="宋体" w:eastAsia="宋体" w:cs="宋体"/>
          <w:sz w:val="24"/>
          <w:szCs w:val="24"/>
          <w:highlight w:val="none"/>
        </w:rPr>
        <w:t>月任意1个月养老保险缴费证明（企业法定代表人参与投标，此项不需提供）；</w:t>
      </w:r>
    </w:p>
    <w:p w14:paraId="6F8230E9">
      <w:pPr>
        <w:keepNext w:val="0"/>
        <w:keepLines w:val="0"/>
        <w:pageBreakBefore w:val="0"/>
        <w:kinsoku/>
        <w:wordWrap/>
        <w:overflowPunct/>
        <w:topLinePunct w:val="0"/>
        <w:autoSpaceDE/>
        <w:autoSpaceDN/>
        <w:bidi w:val="0"/>
        <w:spacing w:line="4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6.</w:t>
      </w:r>
      <w:r>
        <w:rPr>
          <w:rFonts w:hint="eastAsia" w:ascii="宋体" w:hAnsi="宋体" w:eastAsia="宋体" w:cs="宋体"/>
          <w:sz w:val="24"/>
          <w:szCs w:val="24"/>
          <w:highlight w:val="none"/>
        </w:rPr>
        <w:t>投标声明函（格式见招标文件）。</w:t>
      </w:r>
    </w:p>
    <w:p w14:paraId="5983DB4B">
      <w:pPr>
        <w:keepNext w:val="0"/>
        <w:keepLines w:val="0"/>
        <w:pageBreakBefore w:val="0"/>
        <w:kinsoku/>
        <w:wordWrap/>
        <w:overflowPunct/>
        <w:topLinePunct w:val="0"/>
        <w:autoSpaceDE/>
        <w:autoSpaceDN/>
        <w:bidi w:val="0"/>
        <w:spacing w:line="4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投标人提供的投标文件中的内容没有失实或者弄虚作假，若提供虚假材料的，投标保证金一律没收，记不良行为一次并网上公示。</w:t>
      </w:r>
    </w:p>
    <w:p w14:paraId="0D5BA5DC">
      <w:pPr>
        <w:keepNext w:val="0"/>
        <w:keepLines w:val="0"/>
        <w:pageBreakBefore w:val="0"/>
        <w:widowControl/>
        <w:kinsoku/>
        <w:wordWrap/>
        <w:overflowPunct/>
        <w:topLinePunct w:val="0"/>
        <w:autoSpaceDE/>
        <w:autoSpaceDN/>
        <w:bidi w:val="0"/>
        <w:spacing w:line="400" w:lineRule="exact"/>
        <w:ind w:firstLine="480" w:firstLineChars="200"/>
        <w:jc w:val="left"/>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本项目不接受联合体投标。</w:t>
      </w:r>
    </w:p>
    <w:p w14:paraId="3DDB82A4">
      <w:pPr>
        <w:keepNext w:val="0"/>
        <w:keepLines w:val="0"/>
        <w:pageBreakBefore w:val="0"/>
        <w:widowControl w:val="0"/>
        <w:kinsoku/>
        <w:wordWrap/>
        <w:overflowPunct/>
        <w:topLinePunct w:val="0"/>
        <w:autoSpaceDE/>
        <w:autoSpaceDN/>
        <w:bidi w:val="0"/>
        <w:adjustRightInd/>
        <w:snapToGrid/>
        <w:spacing w:before="157" w:beforeLines="50" w:line="400" w:lineRule="exact"/>
        <w:ind w:firstLine="482" w:firstLineChars="200"/>
        <w:textAlignment w:val="auto"/>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t>（二）投标费用</w:t>
      </w:r>
    </w:p>
    <w:p w14:paraId="4F879D88">
      <w:pPr>
        <w:keepNext w:val="0"/>
        <w:keepLines w:val="0"/>
        <w:pageBreakBefore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投标单位应承担其编制投标文件以及递交投标文件所涉及的一切费用，无论投标结果如何，招标人对上述费用不负任何责任。</w:t>
      </w:r>
    </w:p>
    <w:p w14:paraId="7EC2463C">
      <w:pPr>
        <w:keepNext w:val="0"/>
        <w:keepLines w:val="0"/>
        <w:pageBreakBefore w:val="0"/>
        <w:widowControl w:val="0"/>
        <w:kinsoku/>
        <w:wordWrap/>
        <w:overflowPunct/>
        <w:topLinePunct w:val="0"/>
        <w:autoSpaceDE/>
        <w:autoSpaceDN/>
        <w:bidi w:val="0"/>
        <w:adjustRightInd/>
        <w:snapToGrid/>
        <w:spacing w:before="625" w:beforeLines="200" w:after="313" w:afterLines="100" w:line="400" w:lineRule="exact"/>
        <w:ind w:left="-540" w:leftChars="-257" w:firstLine="723" w:firstLineChars="225"/>
        <w:jc w:val="center"/>
        <w:textAlignment w:val="auto"/>
        <w:rPr>
          <w:rFonts w:hint="eastAsia" w:ascii="宋体" w:hAnsi="宋体" w:eastAsia="宋体" w:cs="宋体"/>
          <w:b/>
          <w:bCs/>
          <w:color w:val="0D0D0D" w:themeColor="text1" w:themeTint="F2"/>
          <w:sz w:val="32"/>
          <w:szCs w:val="32"/>
          <w:highlight w:val="none"/>
          <w14:textFill>
            <w14:solidFill>
              <w14:schemeClr w14:val="tx1">
                <w14:lumMod w14:val="95000"/>
                <w14:lumOff w14:val="5000"/>
              </w14:schemeClr>
            </w14:solidFill>
          </w14:textFill>
        </w:rPr>
      </w:pPr>
      <w:r>
        <w:rPr>
          <w:rFonts w:hint="eastAsia" w:ascii="宋体" w:hAnsi="宋体" w:eastAsia="宋体" w:cs="宋体"/>
          <w:b/>
          <w:bCs/>
          <w:color w:val="0D0D0D" w:themeColor="text1" w:themeTint="F2"/>
          <w:sz w:val="32"/>
          <w:szCs w:val="32"/>
          <w:highlight w:val="none"/>
          <w14:textFill>
            <w14:solidFill>
              <w14:schemeClr w14:val="tx1">
                <w14:lumMod w14:val="95000"/>
                <w14:lumOff w14:val="5000"/>
              </w14:schemeClr>
            </w14:solidFill>
          </w14:textFill>
        </w:rPr>
        <w:t>二、招标文件内容、澄清和修改</w:t>
      </w:r>
    </w:p>
    <w:p w14:paraId="51A98F2A">
      <w:pPr>
        <w:keepNext w:val="0"/>
        <w:keepLines w:val="0"/>
        <w:pageBreakBefore w:val="0"/>
        <w:kinsoku/>
        <w:wordWrap/>
        <w:overflowPunct/>
        <w:topLinePunct w:val="0"/>
        <w:autoSpaceDE/>
        <w:autoSpaceDN/>
        <w:bidi w:val="0"/>
        <w:spacing w:line="400" w:lineRule="exact"/>
        <w:ind w:firstLine="482" w:firstLineChars="200"/>
        <w:jc w:val="left"/>
        <w:textAlignment w:val="auto"/>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t>（一）招标文件的组成</w:t>
      </w:r>
    </w:p>
    <w:p w14:paraId="2BB8CCDE">
      <w:pPr>
        <w:keepNext w:val="0"/>
        <w:keepLines w:val="0"/>
        <w:pageBreakBefore w:val="0"/>
        <w:kinsoku/>
        <w:wordWrap/>
        <w:overflowPunct/>
        <w:topLinePunct w:val="0"/>
        <w:autoSpaceDE/>
        <w:autoSpaceDN/>
        <w:bidi w:val="0"/>
        <w:spacing w:line="400" w:lineRule="exact"/>
        <w:ind w:firstLine="480" w:firstLineChars="200"/>
        <w:jc w:val="left"/>
        <w:textAlignment w:val="auto"/>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1</w:t>
      </w:r>
      <w:r>
        <w:rPr>
          <w:rFonts w:hint="eastAsia" w:ascii="宋体" w:hAnsi="宋体" w:eastAsia="宋体" w:cs="宋体"/>
          <w:color w:val="0D0D0D" w:themeColor="text1" w:themeTint="F2"/>
          <w:sz w:val="24"/>
          <w:szCs w:val="24"/>
          <w:highlight w:val="none"/>
          <w:lang w:val="en-US" w:eastAsia="zh-CN"/>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招标公告</w:t>
      </w:r>
    </w:p>
    <w:p w14:paraId="6738FC53">
      <w:pPr>
        <w:keepNext w:val="0"/>
        <w:keepLines w:val="0"/>
        <w:pageBreakBefore w:val="0"/>
        <w:kinsoku/>
        <w:wordWrap/>
        <w:overflowPunct/>
        <w:topLinePunct w:val="0"/>
        <w:autoSpaceDE/>
        <w:autoSpaceDN/>
        <w:bidi w:val="0"/>
        <w:spacing w:line="400" w:lineRule="exact"/>
        <w:ind w:firstLine="480" w:firstLineChars="200"/>
        <w:jc w:val="left"/>
        <w:textAlignment w:val="auto"/>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2</w:t>
      </w:r>
      <w:r>
        <w:rPr>
          <w:rFonts w:hint="eastAsia" w:ascii="宋体" w:hAnsi="宋体" w:eastAsia="宋体" w:cs="宋体"/>
          <w:color w:val="0D0D0D" w:themeColor="text1" w:themeTint="F2"/>
          <w:sz w:val="24"/>
          <w:szCs w:val="24"/>
          <w:highlight w:val="none"/>
          <w:lang w:val="en-US" w:eastAsia="zh-CN"/>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投标须知及投标须知前附表</w:t>
      </w:r>
    </w:p>
    <w:p w14:paraId="70D946FF">
      <w:pPr>
        <w:keepNext w:val="0"/>
        <w:keepLines w:val="0"/>
        <w:pageBreakBefore w:val="0"/>
        <w:kinsoku/>
        <w:wordWrap/>
        <w:overflowPunct/>
        <w:topLinePunct w:val="0"/>
        <w:autoSpaceDE/>
        <w:autoSpaceDN/>
        <w:bidi w:val="0"/>
        <w:spacing w:line="400" w:lineRule="exact"/>
        <w:ind w:firstLine="480" w:firstLineChars="200"/>
        <w:jc w:val="left"/>
        <w:textAlignment w:val="auto"/>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3</w:t>
      </w:r>
      <w:r>
        <w:rPr>
          <w:rFonts w:hint="eastAsia" w:ascii="宋体" w:hAnsi="宋体" w:eastAsia="宋体" w:cs="宋体"/>
          <w:color w:val="0D0D0D" w:themeColor="text1" w:themeTint="F2"/>
          <w:sz w:val="24"/>
          <w:szCs w:val="24"/>
          <w:highlight w:val="none"/>
          <w:lang w:val="en-US" w:eastAsia="zh-CN"/>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评标办法</w:t>
      </w:r>
    </w:p>
    <w:p w14:paraId="2FB66C02">
      <w:pPr>
        <w:keepNext w:val="0"/>
        <w:keepLines w:val="0"/>
        <w:pageBreakBefore w:val="0"/>
        <w:kinsoku/>
        <w:wordWrap/>
        <w:overflowPunct/>
        <w:topLinePunct w:val="0"/>
        <w:autoSpaceDE/>
        <w:autoSpaceDN/>
        <w:bidi w:val="0"/>
        <w:spacing w:line="400" w:lineRule="exact"/>
        <w:ind w:firstLine="480" w:firstLineChars="200"/>
        <w:jc w:val="left"/>
        <w:textAlignment w:val="auto"/>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4</w:t>
      </w:r>
      <w:r>
        <w:rPr>
          <w:rFonts w:hint="eastAsia" w:ascii="宋体" w:hAnsi="宋体" w:eastAsia="宋体" w:cs="宋体"/>
          <w:color w:val="0D0D0D" w:themeColor="text1" w:themeTint="F2"/>
          <w:sz w:val="24"/>
          <w:szCs w:val="24"/>
          <w:highlight w:val="none"/>
          <w:lang w:val="en-US" w:eastAsia="zh-CN"/>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合同条款</w:t>
      </w:r>
    </w:p>
    <w:p w14:paraId="3AF939B5">
      <w:pPr>
        <w:keepNext w:val="0"/>
        <w:keepLines w:val="0"/>
        <w:pageBreakBefore w:val="0"/>
        <w:kinsoku/>
        <w:wordWrap/>
        <w:overflowPunct/>
        <w:topLinePunct w:val="0"/>
        <w:autoSpaceDE/>
        <w:autoSpaceDN/>
        <w:bidi w:val="0"/>
        <w:spacing w:line="400" w:lineRule="exact"/>
        <w:ind w:firstLine="480" w:firstLineChars="200"/>
        <w:jc w:val="left"/>
        <w:textAlignment w:val="auto"/>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5</w:t>
      </w:r>
      <w:r>
        <w:rPr>
          <w:rFonts w:hint="eastAsia" w:ascii="宋体" w:hAnsi="宋体" w:eastAsia="宋体" w:cs="宋体"/>
          <w:color w:val="0D0D0D" w:themeColor="text1" w:themeTint="F2"/>
          <w:sz w:val="24"/>
          <w:szCs w:val="24"/>
          <w:highlight w:val="none"/>
          <w:lang w:val="en-US" w:eastAsia="zh-CN"/>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投标文件格式</w:t>
      </w:r>
    </w:p>
    <w:p w14:paraId="1C9D21EA">
      <w:pPr>
        <w:keepNext w:val="0"/>
        <w:keepLines w:val="0"/>
        <w:pageBreakBefore w:val="0"/>
        <w:kinsoku/>
        <w:wordWrap/>
        <w:overflowPunct/>
        <w:topLinePunct w:val="0"/>
        <w:autoSpaceDE/>
        <w:autoSpaceDN/>
        <w:bidi w:val="0"/>
        <w:spacing w:line="400" w:lineRule="exact"/>
        <w:ind w:firstLine="480" w:firstLineChars="200"/>
        <w:jc w:val="left"/>
        <w:textAlignment w:val="auto"/>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6</w:t>
      </w:r>
      <w:r>
        <w:rPr>
          <w:rFonts w:hint="eastAsia" w:ascii="宋体" w:hAnsi="宋体" w:eastAsia="宋体" w:cs="宋体"/>
          <w:color w:val="0D0D0D" w:themeColor="text1" w:themeTint="F2"/>
          <w:sz w:val="24"/>
          <w:szCs w:val="24"/>
          <w:highlight w:val="none"/>
          <w:lang w:val="en-US" w:eastAsia="zh-CN"/>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项目需求</w:t>
      </w:r>
    </w:p>
    <w:p w14:paraId="30FC032C">
      <w:pPr>
        <w:keepNext w:val="0"/>
        <w:keepLines w:val="0"/>
        <w:pageBreakBefore w:val="0"/>
        <w:kinsoku/>
        <w:wordWrap/>
        <w:overflowPunct/>
        <w:topLinePunct w:val="0"/>
        <w:autoSpaceDE/>
        <w:autoSpaceDN/>
        <w:bidi w:val="0"/>
        <w:spacing w:line="400" w:lineRule="exact"/>
        <w:ind w:firstLine="480" w:firstLineChars="200"/>
        <w:jc w:val="left"/>
        <w:textAlignment w:val="auto"/>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投标人下载招标文件后，应仔细检查招标文件的所有内容，如对招标活动事项有疑问的，应以书面形式提出询问或疑问，未按规定提出询问或疑问的，视同投标人理解并接受本招标文件所有内容，并对由此引起的投标损失自负。</w:t>
      </w:r>
    </w:p>
    <w:p w14:paraId="69AC7496">
      <w:pPr>
        <w:keepNext w:val="0"/>
        <w:keepLines w:val="0"/>
        <w:pageBreakBefore w:val="0"/>
        <w:kinsoku/>
        <w:wordWrap/>
        <w:overflowPunct/>
        <w:topLinePunct w:val="0"/>
        <w:autoSpaceDE/>
        <w:autoSpaceDN/>
        <w:bidi w:val="0"/>
        <w:spacing w:line="400" w:lineRule="exact"/>
        <w:ind w:firstLine="480" w:firstLineChars="200"/>
        <w:jc w:val="left"/>
        <w:textAlignment w:val="auto"/>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投标人应认真阅读招标文件中所有的事项、格式、条款和规范等要求。按招标文件要求和规定编制投标文件，并保证所提供的全部资料的真实性，以使其投标文件对招标文件作出实质性响应，否则其风险由投标人自行承担。</w:t>
      </w:r>
    </w:p>
    <w:p w14:paraId="151B5A4B">
      <w:pPr>
        <w:keepNext w:val="0"/>
        <w:keepLines w:val="0"/>
        <w:pageBreakBefore w:val="0"/>
        <w:widowControl w:val="0"/>
        <w:kinsoku/>
        <w:wordWrap/>
        <w:overflowPunct/>
        <w:topLinePunct w:val="0"/>
        <w:autoSpaceDE/>
        <w:autoSpaceDN/>
        <w:bidi w:val="0"/>
        <w:adjustRightInd/>
        <w:snapToGrid/>
        <w:spacing w:before="157" w:beforeLines="50" w:line="400" w:lineRule="exact"/>
        <w:ind w:firstLine="482" w:firstLineChars="200"/>
        <w:jc w:val="left"/>
        <w:textAlignment w:val="auto"/>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pPr>
      <w:bookmarkStart w:id="7" w:name="_Toc462564070"/>
      <w:bookmarkStart w:id="8" w:name="_Toc20823283"/>
      <w:bookmarkStart w:id="9" w:name="_Toc16938527"/>
      <w:bookmarkStart w:id="10" w:name="_Toc513029211"/>
      <w:r>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t>（二）招标文件的</w:t>
      </w:r>
      <w:bookmarkEnd w:id="7"/>
      <w:bookmarkEnd w:id="8"/>
      <w:bookmarkEnd w:id="9"/>
      <w:bookmarkEnd w:id="10"/>
      <w:r>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t>询问</w:t>
      </w:r>
    </w:p>
    <w:p w14:paraId="589DD935">
      <w:pPr>
        <w:keepNext w:val="0"/>
        <w:keepLines w:val="0"/>
        <w:pageBreakBefore w:val="0"/>
        <w:kinsoku/>
        <w:wordWrap/>
        <w:overflowPunct/>
        <w:topLinePunct w:val="0"/>
        <w:autoSpaceDE/>
        <w:autoSpaceDN/>
        <w:bidi w:val="0"/>
        <w:spacing w:line="400" w:lineRule="exact"/>
        <w:ind w:firstLine="480" w:firstLineChars="200"/>
        <w:textAlignment w:val="auto"/>
        <w:rPr>
          <w:rFonts w:hint="eastAsia" w:ascii="宋体" w:hAnsi="宋体" w:eastAsia="宋体" w:cs="宋体"/>
          <w:sz w:val="24"/>
          <w:szCs w:val="24"/>
          <w:highlight w:val="none"/>
        </w:rPr>
      </w:pPr>
      <w:bookmarkStart w:id="11" w:name="_Toc20823284"/>
      <w:bookmarkStart w:id="12" w:name="_Toc16938528"/>
      <w:bookmarkStart w:id="13" w:name="_Toc513029212"/>
      <w:bookmarkStart w:id="14" w:name="_Toc462564071"/>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rPr>
        <w:t>投标人获取招标文件后，应仔细核查招标文件的所有内容，投标人如有疑问，应在</w:t>
      </w:r>
      <w:r>
        <w:rPr>
          <w:rFonts w:hint="eastAsia" w:ascii="宋体" w:hAnsi="宋体" w:eastAsia="宋体" w:cs="宋体"/>
          <w:b/>
          <w:sz w:val="24"/>
          <w:szCs w:val="24"/>
          <w:highlight w:val="none"/>
        </w:rPr>
        <w:t>2025年</w:t>
      </w:r>
      <w:r>
        <w:rPr>
          <w:rFonts w:hint="eastAsia" w:ascii="宋体" w:hAnsi="宋体" w:cs="宋体"/>
          <w:b/>
          <w:sz w:val="24"/>
          <w:szCs w:val="24"/>
          <w:highlight w:val="none"/>
          <w:lang w:val="en-US" w:eastAsia="zh-CN"/>
        </w:rPr>
        <w:t>7</w:t>
      </w:r>
      <w:r>
        <w:rPr>
          <w:rFonts w:hint="eastAsia" w:ascii="宋体" w:hAnsi="宋体" w:eastAsia="宋体" w:cs="宋体"/>
          <w:b/>
          <w:sz w:val="24"/>
          <w:szCs w:val="24"/>
          <w:highlight w:val="none"/>
        </w:rPr>
        <w:t>月</w:t>
      </w:r>
      <w:r>
        <w:rPr>
          <w:rFonts w:hint="eastAsia" w:ascii="宋体" w:hAnsi="宋体" w:eastAsia="宋体" w:cs="宋体"/>
          <w:b/>
          <w:sz w:val="24"/>
          <w:szCs w:val="24"/>
          <w:highlight w:val="none"/>
          <w:u w:val="single"/>
        </w:rPr>
        <w:t xml:space="preserve">  </w:t>
      </w:r>
      <w:r>
        <w:rPr>
          <w:rFonts w:hint="eastAsia" w:ascii="宋体" w:hAnsi="宋体" w:cs="宋体"/>
          <w:b/>
          <w:sz w:val="24"/>
          <w:szCs w:val="24"/>
          <w:highlight w:val="none"/>
          <w:u w:val="single"/>
          <w:lang w:val="en-US" w:eastAsia="zh-CN"/>
        </w:rPr>
        <w:t>2</w:t>
      </w:r>
      <w:r>
        <w:rPr>
          <w:rFonts w:hint="eastAsia" w:ascii="宋体" w:hAnsi="宋体" w:eastAsia="宋体" w:cs="宋体"/>
          <w:b/>
          <w:sz w:val="24"/>
          <w:szCs w:val="24"/>
          <w:highlight w:val="none"/>
          <w:u w:val="single"/>
        </w:rPr>
        <w:t xml:space="preserve"> </w:t>
      </w:r>
      <w:r>
        <w:rPr>
          <w:rFonts w:hint="eastAsia" w:ascii="宋体" w:hAnsi="宋体" w:eastAsia="宋体" w:cs="宋体"/>
          <w:b/>
          <w:sz w:val="24"/>
          <w:szCs w:val="24"/>
          <w:highlight w:val="none"/>
        </w:rPr>
        <w:t>日17：00</w:t>
      </w:r>
      <w:r>
        <w:rPr>
          <w:rFonts w:hint="eastAsia" w:ascii="宋体" w:hAnsi="宋体" w:eastAsia="宋体" w:cs="宋体"/>
          <w:sz w:val="24"/>
          <w:szCs w:val="24"/>
          <w:highlight w:val="none"/>
        </w:rPr>
        <w:t>前提出，要求招标人对招标文件予以澄清。如在规定时间未提出询问的，视为投标人理解并接受招标文件所有内容。否则，由此引起的损失由投标人自己承担。投标人同时应认真审核招标文件中所有的事项、格式、条款和规范要求等，若投标人的投标文件没有按招标文件要求提交全部资料，或投标文件没有对招标文件作出实质性响应，其风险由投标人自行承担，并根据有关条款规定，该标书有可能被拒绝。</w:t>
      </w:r>
    </w:p>
    <w:p w14:paraId="006C4B8A">
      <w:pPr>
        <w:keepNext w:val="0"/>
        <w:keepLines w:val="0"/>
        <w:pageBreakBefore w:val="0"/>
        <w:kinsoku/>
        <w:wordWrap/>
        <w:overflowPunct/>
        <w:topLinePunct w:val="0"/>
        <w:autoSpaceDE/>
        <w:autoSpaceDN/>
        <w:bidi w:val="0"/>
        <w:spacing w:line="4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rPr>
        <w:t>无论是招标人根据需要主动对招标文件进行必要的澄清、修改或补充，或是根据投标人的招标答疑、澄清要求对招标文件做出招标答疑、澄清要求回复，招标人都将予以澄清、修改或补充，招标人或招标代理机构将在</w:t>
      </w:r>
      <w:r>
        <w:rPr>
          <w:rFonts w:hint="eastAsia" w:ascii="宋体" w:hAnsi="宋体" w:eastAsia="宋体" w:cs="宋体"/>
          <w:b/>
          <w:sz w:val="24"/>
          <w:szCs w:val="24"/>
          <w:highlight w:val="none"/>
        </w:rPr>
        <w:t>2025年</w:t>
      </w:r>
      <w:r>
        <w:rPr>
          <w:rFonts w:hint="eastAsia" w:ascii="宋体" w:hAnsi="宋体" w:cs="宋体"/>
          <w:b/>
          <w:sz w:val="24"/>
          <w:szCs w:val="24"/>
          <w:highlight w:val="none"/>
          <w:lang w:val="en-US" w:eastAsia="zh-CN"/>
        </w:rPr>
        <w:t>7</w:t>
      </w:r>
      <w:r>
        <w:rPr>
          <w:rFonts w:hint="eastAsia" w:ascii="宋体" w:hAnsi="宋体" w:eastAsia="宋体" w:cs="宋体"/>
          <w:b/>
          <w:sz w:val="24"/>
          <w:szCs w:val="24"/>
          <w:highlight w:val="none"/>
        </w:rPr>
        <w:t>月</w:t>
      </w:r>
      <w:r>
        <w:rPr>
          <w:rFonts w:hint="eastAsia" w:ascii="宋体" w:hAnsi="宋体" w:eastAsia="宋体" w:cs="宋体"/>
          <w:b/>
          <w:sz w:val="24"/>
          <w:szCs w:val="24"/>
          <w:highlight w:val="none"/>
          <w:u w:val="single"/>
        </w:rPr>
        <w:t xml:space="preserve">  </w:t>
      </w:r>
      <w:r>
        <w:rPr>
          <w:rFonts w:hint="eastAsia" w:ascii="宋体" w:hAnsi="宋体" w:cs="宋体"/>
          <w:b/>
          <w:sz w:val="24"/>
          <w:szCs w:val="24"/>
          <w:highlight w:val="none"/>
          <w:u w:val="single"/>
          <w:lang w:val="en-US" w:eastAsia="zh-CN"/>
        </w:rPr>
        <w:t>4</w:t>
      </w:r>
      <w:r>
        <w:rPr>
          <w:rFonts w:hint="eastAsia" w:ascii="宋体" w:hAnsi="宋体" w:eastAsia="宋体" w:cs="宋体"/>
          <w:b/>
          <w:sz w:val="24"/>
          <w:szCs w:val="24"/>
          <w:highlight w:val="none"/>
          <w:u w:val="single"/>
        </w:rPr>
        <w:t xml:space="preserve">  </w:t>
      </w:r>
      <w:r>
        <w:rPr>
          <w:rFonts w:hint="eastAsia" w:ascii="宋体" w:hAnsi="宋体" w:eastAsia="宋体" w:cs="宋体"/>
          <w:b/>
          <w:sz w:val="24"/>
          <w:szCs w:val="24"/>
          <w:highlight w:val="none"/>
        </w:rPr>
        <w:t>日24：00</w:t>
      </w:r>
      <w:r>
        <w:rPr>
          <w:rFonts w:hint="eastAsia" w:ascii="宋体" w:hAnsi="宋体" w:eastAsia="宋体" w:cs="宋体"/>
          <w:sz w:val="24"/>
          <w:szCs w:val="24"/>
          <w:highlight w:val="none"/>
        </w:rPr>
        <w:t>前通过“南通市通州区水务有限公司”网站发给所有投标人。</w:t>
      </w:r>
    </w:p>
    <w:p w14:paraId="4A9ACCD5">
      <w:pPr>
        <w:keepNext w:val="0"/>
        <w:keepLines w:val="0"/>
        <w:pageBreakBefore w:val="0"/>
        <w:kinsoku/>
        <w:wordWrap/>
        <w:overflowPunct/>
        <w:topLinePunct w:val="0"/>
        <w:autoSpaceDE/>
        <w:autoSpaceDN/>
        <w:bidi w:val="0"/>
        <w:spacing w:line="4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当招标文件、招标文件的澄清等在同一内容的表述上不一致时，以最后发布的为准。</w:t>
      </w:r>
    </w:p>
    <w:p w14:paraId="521001FB">
      <w:pPr>
        <w:keepNext w:val="0"/>
        <w:keepLines w:val="0"/>
        <w:pageBreakBefore w:val="0"/>
        <w:widowControl w:val="0"/>
        <w:kinsoku/>
        <w:wordWrap/>
        <w:overflowPunct/>
        <w:topLinePunct w:val="0"/>
        <w:autoSpaceDE/>
        <w:autoSpaceDN/>
        <w:bidi w:val="0"/>
        <w:adjustRightInd/>
        <w:snapToGrid/>
        <w:spacing w:before="157" w:beforeLines="50" w:line="400" w:lineRule="exact"/>
        <w:ind w:firstLine="482" w:firstLineChars="200"/>
        <w:jc w:val="left"/>
        <w:textAlignment w:val="auto"/>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t>（三）招标文件的修改</w:t>
      </w:r>
      <w:bookmarkEnd w:id="11"/>
      <w:bookmarkEnd w:id="12"/>
      <w:bookmarkEnd w:id="13"/>
      <w:bookmarkEnd w:id="14"/>
      <w:r>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t>及澄清</w:t>
      </w:r>
    </w:p>
    <w:p w14:paraId="2A5184AA">
      <w:pPr>
        <w:keepNext w:val="0"/>
        <w:keepLines w:val="0"/>
        <w:pageBreakBefore w:val="0"/>
        <w:kinsoku/>
        <w:wordWrap/>
        <w:overflowPunct/>
        <w:topLinePunct w:val="0"/>
        <w:autoSpaceDE/>
        <w:autoSpaceDN/>
        <w:bidi w:val="0"/>
        <w:spacing w:line="400" w:lineRule="exact"/>
        <w:ind w:firstLine="480" w:firstLineChars="200"/>
        <w:jc w:val="left"/>
        <w:textAlignment w:val="auto"/>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1</w:t>
      </w:r>
      <w:r>
        <w:rPr>
          <w:rFonts w:hint="eastAsia" w:ascii="宋体" w:hAnsi="宋体" w:eastAsia="宋体" w:cs="宋体"/>
          <w:color w:val="0D0D0D" w:themeColor="text1" w:themeTint="F2"/>
          <w:sz w:val="24"/>
          <w:szCs w:val="24"/>
          <w:highlight w:val="none"/>
          <w:lang w:val="en-US" w:eastAsia="zh-CN"/>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在投标截止时间三日前，招标人可以对招标文件进行修改。</w:t>
      </w:r>
    </w:p>
    <w:p w14:paraId="3ABC1628">
      <w:pPr>
        <w:keepNext w:val="0"/>
        <w:keepLines w:val="0"/>
        <w:pageBreakBefore w:val="0"/>
        <w:kinsoku/>
        <w:wordWrap/>
        <w:overflowPunct/>
        <w:topLinePunct w:val="0"/>
        <w:autoSpaceDE/>
        <w:autoSpaceDN/>
        <w:bidi w:val="0"/>
        <w:spacing w:line="400" w:lineRule="exact"/>
        <w:ind w:firstLine="480" w:firstLineChars="200"/>
        <w:jc w:val="left"/>
        <w:textAlignment w:val="auto"/>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2</w:t>
      </w:r>
      <w:r>
        <w:rPr>
          <w:rFonts w:hint="eastAsia" w:ascii="宋体" w:hAnsi="宋体" w:eastAsia="宋体" w:cs="宋体"/>
          <w:color w:val="0D0D0D" w:themeColor="text1" w:themeTint="F2"/>
          <w:sz w:val="24"/>
          <w:szCs w:val="24"/>
          <w:highlight w:val="none"/>
          <w:lang w:val="en-US" w:eastAsia="zh-CN"/>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招标人有权按照法定的要求推迟投标截止日期和开标日期。</w:t>
      </w:r>
    </w:p>
    <w:p w14:paraId="11D9417A">
      <w:pPr>
        <w:keepNext w:val="0"/>
        <w:keepLines w:val="0"/>
        <w:pageBreakBefore w:val="0"/>
        <w:kinsoku/>
        <w:wordWrap/>
        <w:overflowPunct/>
        <w:topLinePunct w:val="0"/>
        <w:autoSpaceDE/>
        <w:autoSpaceDN/>
        <w:bidi w:val="0"/>
        <w:spacing w:line="400" w:lineRule="exact"/>
        <w:ind w:firstLine="480" w:firstLineChars="200"/>
        <w:jc w:val="left"/>
        <w:textAlignment w:val="auto"/>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3</w:t>
      </w:r>
      <w:r>
        <w:rPr>
          <w:rFonts w:hint="eastAsia" w:ascii="宋体" w:hAnsi="宋体" w:eastAsia="宋体" w:cs="宋体"/>
          <w:color w:val="0D0D0D" w:themeColor="text1" w:themeTint="F2"/>
          <w:sz w:val="24"/>
          <w:szCs w:val="24"/>
          <w:highlight w:val="none"/>
          <w:lang w:val="en-US" w:eastAsia="zh-CN"/>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招标文件的修改将在“南通市通州区水务有限公司”网站发布，请各投标人及时登录平台查看，补充文件将作为招标文件的组成部分，并对投标人具有约束力。</w:t>
      </w:r>
    </w:p>
    <w:p w14:paraId="4A77B139">
      <w:pPr>
        <w:keepNext w:val="0"/>
        <w:keepLines w:val="0"/>
        <w:pageBreakBefore w:val="0"/>
        <w:widowControl w:val="0"/>
        <w:kinsoku/>
        <w:wordWrap/>
        <w:overflowPunct/>
        <w:topLinePunct w:val="0"/>
        <w:autoSpaceDE/>
        <w:autoSpaceDN/>
        <w:bidi w:val="0"/>
        <w:adjustRightInd/>
        <w:snapToGrid/>
        <w:spacing w:before="625" w:beforeLines="200" w:after="313" w:afterLines="100" w:line="400" w:lineRule="exact"/>
        <w:ind w:left="-540" w:leftChars="-257" w:firstLine="4086" w:firstLineChars="1272"/>
        <w:textAlignment w:val="auto"/>
        <w:rPr>
          <w:rFonts w:hint="eastAsia" w:ascii="宋体" w:hAnsi="宋体" w:eastAsia="宋体" w:cs="宋体"/>
          <w:b/>
          <w:bCs/>
          <w:color w:val="0D0D0D" w:themeColor="text1" w:themeTint="F2"/>
          <w:sz w:val="32"/>
          <w:szCs w:val="32"/>
          <w:highlight w:val="none"/>
          <w14:textFill>
            <w14:solidFill>
              <w14:schemeClr w14:val="tx1">
                <w14:lumMod w14:val="95000"/>
                <w14:lumOff w14:val="5000"/>
              </w14:schemeClr>
            </w14:solidFill>
          </w14:textFill>
        </w:rPr>
      </w:pPr>
      <w:r>
        <w:rPr>
          <w:rFonts w:hint="eastAsia" w:ascii="宋体" w:hAnsi="宋体" w:eastAsia="宋体" w:cs="宋体"/>
          <w:b/>
          <w:bCs/>
          <w:color w:val="0D0D0D" w:themeColor="text1" w:themeTint="F2"/>
          <w:sz w:val="32"/>
          <w:szCs w:val="32"/>
          <w:highlight w:val="none"/>
          <w14:textFill>
            <w14:solidFill>
              <w14:schemeClr w14:val="tx1">
                <w14:lumMod w14:val="95000"/>
                <w14:lumOff w14:val="5000"/>
              </w14:schemeClr>
            </w14:solidFill>
          </w14:textFill>
        </w:rPr>
        <w:t>三、投标文件的编制</w:t>
      </w:r>
    </w:p>
    <w:p w14:paraId="0DF9D042">
      <w:pPr>
        <w:keepNext w:val="0"/>
        <w:keepLines w:val="0"/>
        <w:pageBreakBefore w:val="0"/>
        <w:kinsoku/>
        <w:wordWrap/>
        <w:overflowPunct/>
        <w:topLinePunct w:val="0"/>
        <w:autoSpaceDE/>
        <w:autoSpaceDN/>
        <w:bidi w:val="0"/>
        <w:spacing w:line="400" w:lineRule="exact"/>
        <w:ind w:firstLine="482" w:firstLineChars="200"/>
        <w:jc w:val="left"/>
        <w:textAlignment w:val="auto"/>
        <w:rPr>
          <w:rFonts w:hint="eastAsia" w:ascii="宋体" w:hAnsi="宋体" w:eastAsia="宋体" w:cs="宋体"/>
          <w:b/>
          <w:bCs/>
          <w:color w:val="0D0D0D" w:themeColor="text1" w:themeTint="F2"/>
          <w:sz w:val="24"/>
          <w:szCs w:val="24"/>
          <w:highlight w:val="none"/>
          <w:u w:val="single"/>
          <w14:textFill>
            <w14:solidFill>
              <w14:schemeClr w14:val="tx1">
                <w14:lumMod w14:val="95000"/>
                <w14:lumOff w14:val="5000"/>
              </w14:schemeClr>
            </w14:solidFill>
          </w14:textFill>
        </w:rPr>
      </w:pPr>
      <w:r>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t>（一）投标文件应包括下列内容：</w:t>
      </w:r>
      <w:r>
        <w:rPr>
          <w:rFonts w:hint="eastAsia" w:ascii="宋体" w:hAnsi="宋体" w:eastAsia="宋体" w:cs="宋体"/>
          <w:b/>
          <w:bCs/>
          <w:color w:val="0D0D0D" w:themeColor="text1" w:themeTint="F2"/>
          <w:sz w:val="24"/>
          <w:szCs w:val="24"/>
          <w:highlight w:val="none"/>
          <w:u w:val="single"/>
          <w14:textFill>
            <w14:solidFill>
              <w14:schemeClr w14:val="tx1">
                <w14:lumMod w14:val="95000"/>
                <w14:lumOff w14:val="5000"/>
              </w14:schemeClr>
            </w14:solidFill>
          </w14:textFill>
        </w:rPr>
        <w:t>资格审查文件、价格标文件</w:t>
      </w:r>
    </w:p>
    <w:p w14:paraId="52E155AC">
      <w:pPr>
        <w:keepNext w:val="0"/>
        <w:keepLines w:val="0"/>
        <w:pageBreakBefore w:val="0"/>
        <w:kinsoku/>
        <w:wordWrap/>
        <w:overflowPunct/>
        <w:topLinePunct w:val="0"/>
        <w:autoSpaceDE/>
        <w:autoSpaceDN/>
        <w:bidi w:val="0"/>
        <w:spacing w:line="400" w:lineRule="exact"/>
        <w:ind w:firstLine="482" w:firstLineChars="200"/>
        <w:jc w:val="left"/>
        <w:textAlignment w:val="auto"/>
        <w:rPr>
          <w:rFonts w:hint="eastAsia" w:ascii="宋体" w:hAnsi="宋体" w:eastAsia="宋体" w:cs="宋体"/>
          <w:b/>
          <w:bCs/>
          <w:color w:val="0D0D0D" w:themeColor="text1" w:themeTint="F2"/>
          <w:sz w:val="24"/>
          <w:szCs w:val="24"/>
          <w:highlight w:val="none"/>
          <w:u w:val="single"/>
          <w14:textFill>
            <w14:solidFill>
              <w14:schemeClr w14:val="tx1">
                <w14:lumMod w14:val="95000"/>
                <w14:lumOff w14:val="5000"/>
              </w14:schemeClr>
            </w14:solidFill>
          </w14:textFill>
        </w:rPr>
      </w:pPr>
      <w:r>
        <w:rPr>
          <w:rFonts w:hint="eastAsia" w:ascii="宋体" w:hAnsi="宋体" w:eastAsia="宋体" w:cs="宋体"/>
          <w:b/>
          <w:bCs/>
          <w:color w:val="0D0D0D" w:themeColor="text1" w:themeTint="F2"/>
          <w:sz w:val="24"/>
          <w:szCs w:val="24"/>
          <w:highlight w:val="none"/>
          <w:u w:val="single"/>
          <w14:textFill>
            <w14:solidFill>
              <w14:schemeClr w14:val="tx1">
                <w14:lumMod w14:val="95000"/>
                <w14:lumOff w14:val="5000"/>
              </w14:schemeClr>
            </w14:solidFill>
          </w14:textFill>
        </w:rPr>
        <w:t>资格审查文件（包括但不限于以下内容）：</w:t>
      </w:r>
    </w:p>
    <w:p w14:paraId="1717BDFA">
      <w:pPr>
        <w:keepNext w:val="0"/>
        <w:keepLines w:val="0"/>
        <w:pageBreakBefore w:val="0"/>
        <w:kinsoku/>
        <w:wordWrap/>
        <w:overflowPunct/>
        <w:topLinePunct w:val="0"/>
        <w:autoSpaceDE/>
        <w:autoSpaceDN/>
        <w:bidi w:val="0"/>
        <w:spacing w:line="4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ascii="宋体" w:hAnsi="宋体" w:eastAsia="宋体" w:cs="宋体"/>
          <w:sz w:val="24"/>
          <w:szCs w:val="24"/>
          <w:highlight w:val="none"/>
          <w:lang w:val="en-US" w:eastAsia="zh-CN"/>
        </w:rPr>
        <w:t>.</w:t>
      </w:r>
      <w:r>
        <w:rPr>
          <w:rFonts w:hint="eastAsia" w:ascii="宋体" w:hAnsi="宋体" w:eastAsia="宋体" w:cs="宋体"/>
          <w:sz w:val="24"/>
          <w:szCs w:val="24"/>
          <w:highlight w:val="none"/>
        </w:rPr>
        <w:t>法定代表人身份证明书、法定代表人身份证；</w:t>
      </w:r>
    </w:p>
    <w:p w14:paraId="0B6E8132">
      <w:pPr>
        <w:keepNext w:val="0"/>
        <w:keepLines w:val="0"/>
        <w:pageBreakBefore w:val="0"/>
        <w:kinsoku/>
        <w:wordWrap/>
        <w:overflowPunct/>
        <w:topLinePunct w:val="0"/>
        <w:autoSpaceDE/>
        <w:autoSpaceDN/>
        <w:bidi w:val="0"/>
        <w:spacing w:line="4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w:t>
      </w:r>
      <w:r>
        <w:rPr>
          <w:rFonts w:hint="eastAsia" w:ascii="宋体" w:hAnsi="宋体" w:eastAsia="宋体" w:cs="宋体"/>
          <w:sz w:val="24"/>
          <w:szCs w:val="24"/>
          <w:highlight w:val="none"/>
          <w:lang w:val="en-US" w:eastAsia="zh-CN"/>
        </w:rPr>
        <w:t>.</w:t>
      </w:r>
      <w:r>
        <w:rPr>
          <w:rFonts w:hint="eastAsia" w:ascii="宋体" w:hAnsi="宋体" w:eastAsia="宋体" w:cs="宋体"/>
          <w:sz w:val="24"/>
          <w:szCs w:val="24"/>
          <w:highlight w:val="none"/>
        </w:rPr>
        <w:t>授权委托书、授权委托人身份证；</w:t>
      </w:r>
    </w:p>
    <w:p w14:paraId="0E26E3E4">
      <w:pPr>
        <w:keepNext w:val="0"/>
        <w:keepLines w:val="0"/>
        <w:pageBreakBefore w:val="0"/>
        <w:kinsoku/>
        <w:wordWrap/>
        <w:overflowPunct/>
        <w:topLinePunct w:val="0"/>
        <w:autoSpaceDE/>
        <w:autoSpaceDN/>
        <w:bidi w:val="0"/>
        <w:spacing w:line="400" w:lineRule="exact"/>
        <w:ind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3</w:t>
      </w:r>
      <w:r>
        <w:rPr>
          <w:rFonts w:hint="eastAsia" w:ascii="宋体" w:hAnsi="宋体" w:eastAsia="宋体" w:cs="宋体"/>
          <w:sz w:val="24"/>
          <w:szCs w:val="24"/>
          <w:highlight w:val="none"/>
          <w:lang w:val="en-US" w:eastAsia="zh-CN"/>
        </w:rPr>
        <w:t>.</w:t>
      </w:r>
      <w:r>
        <w:rPr>
          <w:rFonts w:hint="eastAsia" w:ascii="宋体" w:hAnsi="宋体" w:eastAsia="宋体" w:cs="宋体"/>
          <w:sz w:val="24"/>
          <w:szCs w:val="24"/>
          <w:highlight w:val="none"/>
        </w:rPr>
        <w:t>有效的企业法人营业执照；</w:t>
      </w:r>
      <w:r>
        <w:rPr>
          <w:rFonts w:hint="eastAsia" w:ascii="宋体" w:hAnsi="宋体" w:eastAsia="宋体" w:cs="宋体"/>
          <w:sz w:val="24"/>
          <w:szCs w:val="24"/>
          <w:highlight w:val="none"/>
          <w:lang w:eastAsia="zh-CN"/>
        </w:rPr>
        <w:t>、</w:t>
      </w:r>
    </w:p>
    <w:p w14:paraId="0E616795">
      <w:pPr>
        <w:keepNext w:val="0"/>
        <w:keepLines w:val="0"/>
        <w:pageBreakBefore w:val="0"/>
        <w:kinsoku/>
        <w:wordWrap/>
        <w:overflowPunct/>
        <w:topLinePunct w:val="0"/>
        <w:autoSpaceDE/>
        <w:autoSpaceDN/>
        <w:bidi w:val="0"/>
        <w:spacing w:line="40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4.具有国家电管部门颁发的承装（修、试）电力设施许可证：承装类四级（含四级）或承修类四级（含四级）或承试类四级（含四级）及以上资质；</w:t>
      </w:r>
    </w:p>
    <w:p w14:paraId="507EEF67">
      <w:pPr>
        <w:keepNext w:val="0"/>
        <w:keepLines w:val="0"/>
        <w:pageBreakBefore w:val="0"/>
        <w:kinsoku/>
        <w:wordWrap/>
        <w:overflowPunct/>
        <w:topLinePunct w:val="0"/>
        <w:autoSpaceDE/>
        <w:autoSpaceDN/>
        <w:bidi w:val="0"/>
        <w:spacing w:line="40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kern w:val="0"/>
          <w:sz w:val="24"/>
          <w:szCs w:val="24"/>
          <w:highlight w:val="none"/>
          <w:lang w:val="en-US" w:eastAsia="zh-CN"/>
        </w:rPr>
        <w:t>5.</w:t>
      </w:r>
      <w:r>
        <w:rPr>
          <w:rFonts w:hint="eastAsia" w:ascii="宋体" w:hAnsi="宋体" w:eastAsia="宋体" w:cs="宋体"/>
          <w:kern w:val="0"/>
          <w:sz w:val="24"/>
          <w:szCs w:val="24"/>
          <w:highlight w:val="none"/>
        </w:rPr>
        <w:t>提供由有资质的第三方检测机构出具的</w:t>
      </w:r>
      <w:r>
        <w:rPr>
          <w:rFonts w:hint="eastAsia" w:ascii="宋体" w:hAnsi="宋体" w:eastAsia="宋体" w:cs="宋体"/>
          <w:kern w:val="0"/>
          <w:sz w:val="24"/>
          <w:szCs w:val="24"/>
          <w:highlight w:val="none"/>
          <w:lang w:val="en-US" w:eastAsia="zh-CN"/>
        </w:rPr>
        <w:t>产品</w:t>
      </w:r>
      <w:r>
        <w:rPr>
          <w:rFonts w:hint="eastAsia" w:ascii="宋体" w:hAnsi="宋体" w:eastAsia="宋体" w:cs="宋体"/>
          <w:sz w:val="24"/>
          <w:szCs w:val="24"/>
          <w:highlight w:val="none"/>
          <w:lang w:val="en-US" w:eastAsia="zh-CN"/>
        </w:rPr>
        <w:t>型式试验报告</w:t>
      </w:r>
      <w:r>
        <w:rPr>
          <w:rFonts w:hint="eastAsia" w:ascii="宋体" w:hAnsi="宋体" w:eastAsia="宋体" w:cs="宋体"/>
          <w:kern w:val="0"/>
          <w:sz w:val="24"/>
          <w:szCs w:val="24"/>
          <w:highlight w:val="none"/>
        </w:rPr>
        <w:t>；</w:t>
      </w:r>
    </w:p>
    <w:p w14:paraId="410A4FCF">
      <w:pPr>
        <w:keepNext w:val="0"/>
        <w:keepLines w:val="0"/>
        <w:pageBreakBefore w:val="0"/>
        <w:kinsoku/>
        <w:wordWrap/>
        <w:overflowPunct/>
        <w:topLinePunct w:val="0"/>
        <w:autoSpaceDE/>
        <w:autoSpaceDN/>
        <w:bidi w:val="0"/>
        <w:spacing w:line="4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6.</w:t>
      </w:r>
      <w:r>
        <w:rPr>
          <w:rFonts w:hint="eastAsia" w:ascii="宋体" w:hAnsi="宋体" w:eastAsia="宋体" w:cs="宋体"/>
          <w:sz w:val="24"/>
          <w:szCs w:val="24"/>
          <w:highlight w:val="none"/>
        </w:rPr>
        <w:t>近三年(2022年1月1日以来，以签订合同时间为准)</w:t>
      </w:r>
      <w:r>
        <w:rPr>
          <w:rFonts w:hint="eastAsia" w:ascii="宋体" w:hAnsi="宋体" w:eastAsia="宋体" w:cs="宋体"/>
          <w:sz w:val="24"/>
          <w:szCs w:val="24"/>
          <w:highlight w:val="none"/>
          <w:lang w:val="en-US" w:eastAsia="zh-CN"/>
        </w:rPr>
        <w:t>谐波治理（含有源滤波器销售、安装、调试）</w:t>
      </w:r>
      <w:r>
        <w:rPr>
          <w:rFonts w:hint="eastAsia" w:ascii="宋体" w:hAnsi="宋体" w:eastAsia="宋体" w:cs="宋体"/>
          <w:sz w:val="24"/>
          <w:szCs w:val="24"/>
          <w:highlight w:val="none"/>
        </w:rPr>
        <w:t>类似项目业绩3个及以上(含3个，提供双方盖章合同)；</w:t>
      </w:r>
    </w:p>
    <w:p w14:paraId="58C51DD6">
      <w:pPr>
        <w:keepNext w:val="0"/>
        <w:keepLines w:val="0"/>
        <w:pageBreakBefore w:val="0"/>
        <w:kinsoku/>
        <w:wordWrap/>
        <w:overflowPunct/>
        <w:topLinePunct w:val="0"/>
        <w:autoSpaceDE/>
        <w:autoSpaceDN/>
        <w:bidi w:val="0"/>
        <w:spacing w:line="4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7.</w:t>
      </w:r>
      <w:r>
        <w:rPr>
          <w:rFonts w:hint="eastAsia" w:ascii="宋体" w:hAnsi="宋体" w:eastAsia="宋体" w:cs="宋体"/>
          <w:sz w:val="24"/>
          <w:szCs w:val="24"/>
          <w:highlight w:val="none"/>
        </w:rPr>
        <w:t>授权委托人（如有）与投标人签订的有效劳动合同或投标人为授权委托人（如有）缴纳的202</w:t>
      </w:r>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rPr>
        <w:t>年</w:t>
      </w:r>
      <w:r>
        <w:rPr>
          <w:rFonts w:hint="eastAsia" w:ascii="宋体" w:hAnsi="宋体" w:cs="宋体"/>
          <w:sz w:val="24"/>
          <w:szCs w:val="24"/>
          <w:highlight w:val="none"/>
          <w:lang w:val="en-US" w:eastAsia="zh-CN"/>
        </w:rPr>
        <w:t>3</w:t>
      </w:r>
      <w:r>
        <w:rPr>
          <w:rFonts w:hint="eastAsia" w:ascii="宋体" w:hAnsi="宋体" w:eastAsia="宋体" w:cs="宋体"/>
          <w:sz w:val="24"/>
          <w:szCs w:val="24"/>
          <w:highlight w:val="none"/>
        </w:rPr>
        <w:t>月至2025年</w:t>
      </w:r>
      <w:r>
        <w:rPr>
          <w:rFonts w:hint="eastAsia" w:ascii="宋体" w:hAnsi="宋体" w:cs="宋体"/>
          <w:sz w:val="24"/>
          <w:szCs w:val="24"/>
          <w:highlight w:val="none"/>
          <w:lang w:val="en-US" w:eastAsia="zh-CN"/>
        </w:rPr>
        <w:t>5</w:t>
      </w:r>
      <w:r>
        <w:rPr>
          <w:rFonts w:hint="eastAsia" w:ascii="宋体" w:hAnsi="宋体" w:eastAsia="宋体" w:cs="宋体"/>
          <w:sz w:val="24"/>
          <w:szCs w:val="24"/>
          <w:highlight w:val="none"/>
        </w:rPr>
        <w:t>月任意1个月养老保险缴费证明（企业法定代表人参与投标，此项不需提供）；</w:t>
      </w:r>
    </w:p>
    <w:p w14:paraId="36697245">
      <w:pPr>
        <w:keepNext w:val="0"/>
        <w:keepLines w:val="0"/>
        <w:pageBreakBefore w:val="0"/>
        <w:kinsoku/>
        <w:wordWrap/>
        <w:overflowPunct/>
        <w:topLinePunct w:val="0"/>
        <w:autoSpaceDE/>
        <w:autoSpaceDN/>
        <w:bidi w:val="0"/>
        <w:spacing w:line="4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8.</w:t>
      </w:r>
      <w:r>
        <w:rPr>
          <w:rFonts w:hint="eastAsia" w:ascii="宋体" w:hAnsi="宋体" w:eastAsia="宋体" w:cs="宋体"/>
          <w:sz w:val="24"/>
          <w:szCs w:val="24"/>
          <w:highlight w:val="none"/>
        </w:rPr>
        <w:t>投标声明函（格式见招标文件）。</w:t>
      </w:r>
    </w:p>
    <w:p w14:paraId="1CABF9BD">
      <w:pPr>
        <w:pStyle w:val="20"/>
        <w:keepNext w:val="0"/>
        <w:keepLines w:val="0"/>
        <w:pageBreakBefore w:val="0"/>
        <w:kinsoku/>
        <w:wordWrap/>
        <w:overflowPunct/>
        <w:topLinePunct w:val="0"/>
        <w:autoSpaceDE/>
        <w:autoSpaceDN/>
        <w:bidi w:val="0"/>
        <w:spacing w:after="0" w:line="400" w:lineRule="exact"/>
        <w:ind w:firstLine="482" w:firstLineChars="200"/>
        <w:textAlignment w:val="auto"/>
        <w:rPr>
          <w:rFonts w:hint="eastAsia" w:ascii="宋体" w:hAnsi="宋体" w:eastAsia="宋体" w:cs="宋体"/>
          <w:b/>
          <w:bCs/>
          <w:color w:val="0D0D0D" w:themeColor="text1" w:themeTint="F2"/>
          <w:kern w:val="0"/>
          <w:sz w:val="24"/>
          <w:szCs w:val="24"/>
          <w:highlight w:val="none"/>
          <w:u w:val="single"/>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0"/>
          <w:sz w:val="24"/>
          <w:szCs w:val="24"/>
          <w:highlight w:val="none"/>
          <w:u w:val="single"/>
          <w14:textFill>
            <w14:solidFill>
              <w14:schemeClr w14:val="tx1">
                <w14:lumMod w14:val="95000"/>
                <w14:lumOff w14:val="5000"/>
              </w14:schemeClr>
            </w14:solidFill>
          </w14:textFill>
        </w:rPr>
        <w:t>价格标部分</w:t>
      </w:r>
      <w:r>
        <w:rPr>
          <w:rFonts w:hint="eastAsia" w:ascii="宋体" w:hAnsi="宋体" w:eastAsia="宋体" w:cs="宋体"/>
          <w:b/>
          <w:bCs/>
          <w:color w:val="0D0D0D" w:themeColor="text1" w:themeTint="F2"/>
          <w:sz w:val="24"/>
          <w:szCs w:val="24"/>
          <w:highlight w:val="none"/>
          <w:u w:val="single"/>
          <w14:textFill>
            <w14:solidFill>
              <w14:schemeClr w14:val="tx1">
                <w14:lumMod w14:val="95000"/>
                <w14:lumOff w14:val="5000"/>
              </w14:schemeClr>
            </w14:solidFill>
          </w14:textFill>
        </w:rPr>
        <w:t>（包括但不限于以下内容）</w:t>
      </w:r>
      <w:r>
        <w:rPr>
          <w:rFonts w:hint="eastAsia" w:ascii="宋体" w:hAnsi="宋体" w:eastAsia="宋体" w:cs="宋体"/>
          <w:b/>
          <w:bCs/>
          <w:color w:val="0D0D0D" w:themeColor="text1" w:themeTint="F2"/>
          <w:kern w:val="0"/>
          <w:sz w:val="24"/>
          <w:szCs w:val="24"/>
          <w:highlight w:val="none"/>
          <w:u w:val="single"/>
          <w14:textFill>
            <w14:solidFill>
              <w14:schemeClr w14:val="tx1">
                <w14:lumMod w14:val="95000"/>
                <w14:lumOff w14:val="5000"/>
              </w14:schemeClr>
            </w14:solidFill>
          </w14:textFill>
        </w:rPr>
        <w:t>:</w:t>
      </w:r>
    </w:p>
    <w:p w14:paraId="7A9E193F">
      <w:pPr>
        <w:keepNext w:val="0"/>
        <w:keepLines w:val="0"/>
        <w:pageBreakBefore w:val="0"/>
        <w:kinsoku/>
        <w:wordWrap/>
        <w:overflowPunct/>
        <w:topLinePunct w:val="0"/>
        <w:autoSpaceDE/>
        <w:autoSpaceDN/>
        <w:bidi w:val="0"/>
        <w:spacing w:line="400" w:lineRule="exact"/>
        <w:ind w:firstLine="48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ascii="宋体" w:hAnsi="宋体" w:eastAsia="宋体" w:cs="宋体"/>
          <w:sz w:val="24"/>
          <w:szCs w:val="24"/>
          <w:highlight w:val="none"/>
          <w:lang w:val="en-US" w:eastAsia="zh-CN"/>
        </w:rPr>
        <w:t>.</w:t>
      </w:r>
      <w:r>
        <w:rPr>
          <w:rFonts w:hint="eastAsia" w:ascii="宋体" w:hAnsi="宋体" w:eastAsia="宋体" w:cs="宋体"/>
          <w:sz w:val="24"/>
          <w:szCs w:val="24"/>
          <w:highlight w:val="none"/>
        </w:rPr>
        <w:t>投标函；</w:t>
      </w:r>
    </w:p>
    <w:p w14:paraId="4F537427">
      <w:pPr>
        <w:keepNext w:val="0"/>
        <w:keepLines w:val="0"/>
        <w:pageBreakBefore w:val="0"/>
        <w:kinsoku/>
        <w:wordWrap/>
        <w:overflowPunct/>
        <w:topLinePunct w:val="0"/>
        <w:autoSpaceDE/>
        <w:autoSpaceDN/>
        <w:bidi w:val="0"/>
        <w:spacing w:line="400" w:lineRule="exact"/>
        <w:ind w:firstLine="48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w:t>
      </w:r>
      <w:r>
        <w:rPr>
          <w:rFonts w:hint="eastAsia" w:ascii="宋体" w:hAnsi="宋体" w:eastAsia="宋体" w:cs="宋体"/>
          <w:sz w:val="24"/>
          <w:szCs w:val="24"/>
          <w:highlight w:val="none"/>
          <w:lang w:val="en-US" w:eastAsia="zh-CN"/>
        </w:rPr>
        <w:t>.</w:t>
      </w:r>
      <w:r>
        <w:rPr>
          <w:rFonts w:hint="eastAsia" w:ascii="宋体" w:hAnsi="宋体" w:eastAsia="宋体" w:cs="宋体"/>
          <w:sz w:val="24"/>
          <w:szCs w:val="24"/>
          <w:highlight w:val="none"/>
        </w:rPr>
        <w:t>明细报价一览表。</w:t>
      </w:r>
    </w:p>
    <w:p w14:paraId="6F70E858">
      <w:pPr>
        <w:keepNext w:val="0"/>
        <w:keepLines w:val="0"/>
        <w:pageBreakBefore w:val="0"/>
        <w:widowControl w:val="0"/>
        <w:kinsoku/>
        <w:wordWrap/>
        <w:overflowPunct/>
        <w:topLinePunct w:val="0"/>
        <w:autoSpaceDE/>
        <w:autoSpaceDN/>
        <w:bidi w:val="0"/>
        <w:adjustRightInd/>
        <w:snapToGrid/>
        <w:spacing w:before="157" w:beforeLines="50" w:line="400" w:lineRule="exact"/>
        <w:ind w:firstLine="482" w:firstLineChars="200"/>
        <w:jc w:val="left"/>
        <w:textAlignment w:val="auto"/>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t>（二）投标人应当使用本招标文件提供的投标文件表式，表式可以按同样格式进行扩展。</w:t>
      </w:r>
    </w:p>
    <w:p w14:paraId="62DB1CAB">
      <w:pPr>
        <w:keepNext w:val="0"/>
        <w:keepLines w:val="0"/>
        <w:pageBreakBefore w:val="0"/>
        <w:widowControl w:val="0"/>
        <w:kinsoku/>
        <w:wordWrap/>
        <w:overflowPunct/>
        <w:topLinePunct w:val="0"/>
        <w:autoSpaceDE/>
        <w:autoSpaceDN/>
        <w:bidi w:val="0"/>
        <w:adjustRightInd/>
        <w:snapToGrid/>
        <w:spacing w:before="157" w:beforeLines="50" w:line="400" w:lineRule="exact"/>
        <w:ind w:firstLine="482" w:firstLineChars="200"/>
        <w:textAlignment w:val="auto"/>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t>（三）投标报价</w:t>
      </w:r>
    </w:p>
    <w:p w14:paraId="3E8565D8">
      <w:pPr>
        <w:keepNext w:val="0"/>
        <w:keepLines w:val="0"/>
        <w:pageBreakBefore w:val="0"/>
        <w:kinsoku/>
        <w:wordWrap/>
        <w:overflowPunct/>
        <w:topLinePunct w:val="0"/>
        <w:autoSpaceDE/>
        <w:autoSpaceDN/>
        <w:bidi w:val="0"/>
        <w:adjustRightInd w:val="0"/>
        <w:snapToGrid w:val="0"/>
        <w:spacing w:line="400" w:lineRule="exact"/>
        <w:ind w:firstLine="480" w:firstLineChars="200"/>
        <w:textAlignment w:val="auto"/>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1</w:t>
      </w:r>
      <w:r>
        <w:rPr>
          <w:rFonts w:hint="eastAsia" w:ascii="宋体" w:hAnsi="宋体" w:eastAsia="宋体" w:cs="宋体"/>
          <w:color w:val="0D0D0D" w:themeColor="text1" w:themeTint="F2"/>
          <w:sz w:val="24"/>
          <w:szCs w:val="24"/>
          <w:highlight w:val="none"/>
          <w:lang w:val="en-US" w:eastAsia="zh-CN"/>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本项目不接受任何有选择的报价。</w:t>
      </w:r>
    </w:p>
    <w:p w14:paraId="4EF757FD">
      <w:pPr>
        <w:keepNext w:val="0"/>
        <w:keepLines w:val="0"/>
        <w:pageBreakBefore w:val="0"/>
        <w:kinsoku/>
        <w:wordWrap/>
        <w:overflowPunct/>
        <w:topLinePunct w:val="0"/>
        <w:autoSpaceDE/>
        <w:autoSpaceDN/>
        <w:bidi w:val="0"/>
        <w:adjustRightInd w:val="0"/>
        <w:snapToGrid w:val="0"/>
        <w:spacing w:line="400" w:lineRule="exact"/>
        <w:ind w:firstLine="480" w:firstLineChars="200"/>
        <w:textAlignment w:val="auto"/>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lang w:val="en-US" w:eastAsia="zh-CN"/>
          <w14:textFill>
            <w14:solidFill>
              <w14:schemeClr w14:val="tx1">
                <w14:lumMod w14:val="95000"/>
                <w14:lumOff w14:val="5000"/>
              </w14:schemeClr>
            </w14:solidFill>
          </w14:textFill>
        </w:rPr>
        <w:t>2.</w:t>
      </w: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投标报价均以人民币为报价的货币单位。</w:t>
      </w:r>
    </w:p>
    <w:p w14:paraId="6427B5B1">
      <w:pPr>
        <w:keepNext w:val="0"/>
        <w:keepLines w:val="0"/>
        <w:pageBreakBefore w:val="0"/>
        <w:kinsoku/>
        <w:wordWrap/>
        <w:overflowPunct/>
        <w:topLinePunct w:val="0"/>
        <w:autoSpaceDE/>
        <w:autoSpaceDN/>
        <w:bidi w:val="0"/>
        <w:adjustRightInd w:val="0"/>
        <w:snapToGrid w:val="0"/>
        <w:spacing w:line="400" w:lineRule="exact"/>
        <w:ind w:firstLine="480" w:firstLineChars="200"/>
        <w:textAlignment w:val="auto"/>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3</w:t>
      </w:r>
      <w:r>
        <w:rPr>
          <w:rFonts w:hint="eastAsia" w:ascii="宋体" w:hAnsi="宋体" w:eastAsia="宋体" w:cs="宋体"/>
          <w:color w:val="0D0D0D" w:themeColor="text1" w:themeTint="F2"/>
          <w:sz w:val="24"/>
          <w:szCs w:val="24"/>
          <w:highlight w:val="none"/>
          <w:lang w:val="en-US" w:eastAsia="zh-CN"/>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报价表必须加盖投标人公章且必须经法定代表人或被委托授权人签署。</w:t>
      </w:r>
    </w:p>
    <w:p w14:paraId="322F2FE9">
      <w:pPr>
        <w:keepNext w:val="0"/>
        <w:keepLines w:val="0"/>
        <w:pageBreakBefore w:val="0"/>
        <w:kinsoku/>
        <w:wordWrap/>
        <w:overflowPunct/>
        <w:topLinePunct w:val="0"/>
        <w:autoSpaceDE/>
        <w:autoSpaceDN/>
        <w:bidi w:val="0"/>
        <w:adjustRightInd w:val="0"/>
        <w:snapToGrid w:val="0"/>
        <w:spacing w:line="400" w:lineRule="exact"/>
        <w:ind w:firstLine="480" w:firstLineChars="200"/>
        <w:textAlignment w:val="auto"/>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4</w:t>
      </w:r>
      <w:r>
        <w:rPr>
          <w:rFonts w:hint="eastAsia" w:ascii="宋体" w:hAnsi="宋体" w:eastAsia="宋体" w:cs="宋体"/>
          <w:color w:val="0D0D0D" w:themeColor="text1" w:themeTint="F2"/>
          <w:sz w:val="24"/>
          <w:szCs w:val="24"/>
          <w:highlight w:val="none"/>
          <w:lang w:val="en-US" w:eastAsia="zh-CN"/>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报价出现前后不一致的，按照下列规定修正：</w:t>
      </w:r>
    </w:p>
    <w:p w14:paraId="24A44149">
      <w:pPr>
        <w:keepNext w:val="0"/>
        <w:keepLines w:val="0"/>
        <w:pageBreakBefore w:val="0"/>
        <w:kinsoku/>
        <w:wordWrap/>
        <w:overflowPunct/>
        <w:topLinePunct w:val="0"/>
        <w:autoSpaceDE/>
        <w:autoSpaceDN/>
        <w:bidi w:val="0"/>
        <w:adjustRightInd w:val="0"/>
        <w:snapToGrid w:val="0"/>
        <w:spacing w:line="400" w:lineRule="exact"/>
        <w:ind w:firstLine="480" w:firstLineChars="200"/>
        <w:textAlignment w:val="auto"/>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（1）投标文件中报价表（报价单）内容与投标文件技术响应中内容明细不一致的，以报价表（报价单）为准；</w:t>
      </w:r>
    </w:p>
    <w:p w14:paraId="68A7842F">
      <w:pPr>
        <w:keepNext w:val="0"/>
        <w:keepLines w:val="0"/>
        <w:pageBreakBefore w:val="0"/>
        <w:kinsoku/>
        <w:wordWrap/>
        <w:overflowPunct/>
        <w:topLinePunct w:val="0"/>
        <w:autoSpaceDE/>
        <w:autoSpaceDN/>
        <w:bidi w:val="0"/>
        <w:adjustRightInd w:val="0"/>
        <w:snapToGrid w:val="0"/>
        <w:spacing w:line="400" w:lineRule="exact"/>
        <w:ind w:firstLine="480" w:firstLineChars="200"/>
        <w:textAlignment w:val="auto"/>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（2）投标文件中涉及大写金额和小写金额不一致的，以大写金额为准；</w:t>
      </w:r>
    </w:p>
    <w:p w14:paraId="4C400316">
      <w:pPr>
        <w:keepNext w:val="0"/>
        <w:keepLines w:val="0"/>
        <w:pageBreakBefore w:val="0"/>
        <w:kinsoku/>
        <w:wordWrap/>
        <w:overflowPunct/>
        <w:topLinePunct w:val="0"/>
        <w:autoSpaceDE/>
        <w:autoSpaceDN/>
        <w:bidi w:val="0"/>
        <w:adjustRightInd w:val="0"/>
        <w:snapToGrid w:val="0"/>
        <w:spacing w:line="400" w:lineRule="exact"/>
        <w:ind w:firstLine="480" w:firstLineChars="200"/>
        <w:textAlignment w:val="auto"/>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（3）单价金额小数点或者百分比有明显错位的，以报价表（报价单）的总价为准，</w:t>
      </w:r>
    </w:p>
    <w:p w14:paraId="70F2F0CF">
      <w:pPr>
        <w:keepNext w:val="0"/>
        <w:keepLines w:val="0"/>
        <w:pageBreakBefore w:val="0"/>
        <w:kinsoku/>
        <w:wordWrap/>
        <w:overflowPunct/>
        <w:topLinePunct w:val="0"/>
        <w:autoSpaceDE/>
        <w:autoSpaceDN/>
        <w:bidi w:val="0"/>
        <w:adjustRightInd w:val="0"/>
        <w:snapToGrid w:val="0"/>
        <w:spacing w:line="400" w:lineRule="exact"/>
        <w:textAlignment w:val="auto"/>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并修改单价；</w:t>
      </w:r>
    </w:p>
    <w:p w14:paraId="3F30A894">
      <w:pPr>
        <w:keepNext w:val="0"/>
        <w:keepLines w:val="0"/>
        <w:pageBreakBefore w:val="0"/>
        <w:kinsoku/>
        <w:wordWrap/>
        <w:overflowPunct/>
        <w:topLinePunct w:val="0"/>
        <w:autoSpaceDE/>
        <w:autoSpaceDN/>
        <w:bidi w:val="0"/>
        <w:adjustRightInd w:val="0"/>
        <w:snapToGrid w:val="0"/>
        <w:spacing w:line="400" w:lineRule="exact"/>
        <w:ind w:firstLine="480" w:firstLineChars="200"/>
        <w:textAlignment w:val="auto"/>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（4）总价金额与按单价汇总金额不一致的，以单价金额计算结果为准。</w:t>
      </w:r>
    </w:p>
    <w:p w14:paraId="6F6B7A35">
      <w:pPr>
        <w:keepNext w:val="0"/>
        <w:keepLines w:val="0"/>
        <w:pageBreakBefore w:val="0"/>
        <w:kinsoku/>
        <w:wordWrap/>
        <w:overflowPunct/>
        <w:topLinePunct w:val="0"/>
        <w:autoSpaceDE/>
        <w:autoSpaceDN/>
        <w:bidi w:val="0"/>
        <w:adjustRightInd w:val="0"/>
        <w:snapToGrid w:val="0"/>
        <w:spacing w:line="400" w:lineRule="exact"/>
        <w:ind w:firstLine="480" w:firstLineChars="200"/>
        <w:textAlignment w:val="auto"/>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同时出现两种以上不一致的，按照前款规定的顺序修正。修正后的报价应当由投标人的法定代表人或其授权的代表签字确认后产生约束力，投标人不确认的，其投标无效。</w:t>
      </w:r>
    </w:p>
    <w:p w14:paraId="77B3C990">
      <w:pPr>
        <w:keepNext w:val="0"/>
        <w:keepLines w:val="0"/>
        <w:pageBreakBefore w:val="0"/>
        <w:kinsoku/>
        <w:wordWrap/>
        <w:overflowPunct/>
        <w:topLinePunct w:val="0"/>
        <w:autoSpaceDE/>
        <w:autoSpaceDN/>
        <w:bidi w:val="0"/>
        <w:spacing w:line="400" w:lineRule="exact"/>
        <w:ind w:firstLine="480" w:firstLineChars="200"/>
        <w:textAlignment w:val="auto"/>
        <w:rPr>
          <w:rFonts w:hint="eastAsia" w:ascii="宋体" w:hAnsi="宋体" w:eastAsia="宋体" w:cs="宋体"/>
          <w:b/>
          <w:bCs/>
          <w:kern w:val="0"/>
          <w:sz w:val="24"/>
          <w:szCs w:val="24"/>
          <w:highlight w:val="none"/>
        </w:rPr>
      </w:pP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5</w:t>
      </w:r>
      <w:r>
        <w:rPr>
          <w:rFonts w:hint="eastAsia" w:ascii="宋体" w:hAnsi="宋体" w:eastAsia="宋体" w:cs="宋体"/>
          <w:color w:val="0D0D0D" w:themeColor="text1" w:themeTint="F2"/>
          <w:sz w:val="24"/>
          <w:szCs w:val="24"/>
          <w:highlight w:val="none"/>
          <w:lang w:val="en-US" w:eastAsia="zh-CN"/>
          <w14:textFill>
            <w14:solidFill>
              <w14:schemeClr w14:val="tx1">
                <w14:lumMod w14:val="95000"/>
                <w14:lumOff w14:val="5000"/>
              </w14:schemeClr>
            </w14:solidFill>
          </w14:textFill>
        </w:rPr>
        <w:t>.</w:t>
      </w:r>
      <w:r>
        <w:rPr>
          <w:rFonts w:hint="eastAsia" w:ascii="宋体" w:hAnsi="宋体" w:eastAsia="宋体" w:cs="宋体"/>
          <w:snapToGrid w:val="0"/>
          <w:color w:val="000000"/>
          <w:kern w:val="0"/>
          <w:sz w:val="24"/>
          <w:szCs w:val="24"/>
          <w:highlight w:val="none"/>
        </w:rPr>
        <w:t>投标人应根据招标人提供的项目需求，结合企业实际情况进行报价。投标人任何漏项、漏报、少报、错报所产生的后果，均由投标人承担责任。报价在合同有效期内（含质保期）不作调整。在合同实施期间不因市场价格浮动因素或其他政策性因素调整，投标人报价时充分考虑风险因素。</w:t>
      </w:r>
      <w:r>
        <w:rPr>
          <w:rFonts w:hint="eastAsia" w:ascii="宋体" w:hAnsi="宋体" w:eastAsia="宋体" w:cs="宋体"/>
          <w:b/>
          <w:bCs/>
          <w:kern w:val="0"/>
          <w:sz w:val="24"/>
          <w:szCs w:val="24"/>
          <w:highlight w:val="none"/>
        </w:rPr>
        <w:t>投标报价为响应及完成项目所需的全部费用，包含但不限于：卖方自制的或外购的全部设备、材料的价格，随货物提供的备品备件及专用工具的价格，包括设备成本（含备品备件费）、包装费、装卸费、运输费、劳务费、供销部门手续费、环保费、安装部件费、安装调试费、检验和试验费、保险、利润、税金（也含关税、增值税）、人员培训和质量保证（修）等售后服务费、政策性文件规定及合同包含的所有风险、责任等各项应有费用，以及包含在采购安装过程中可能涉及的所有费用。</w:t>
      </w:r>
    </w:p>
    <w:p w14:paraId="2AA4D8AC">
      <w:pPr>
        <w:keepNext w:val="0"/>
        <w:keepLines w:val="0"/>
        <w:pageBreakBefore w:val="0"/>
        <w:kinsoku/>
        <w:wordWrap/>
        <w:overflowPunct/>
        <w:topLinePunct w:val="0"/>
        <w:autoSpaceDE/>
        <w:autoSpaceDN/>
        <w:bidi w:val="0"/>
        <w:spacing w:line="400" w:lineRule="exact"/>
        <w:ind w:firstLine="480" w:firstLineChars="200"/>
        <w:textAlignment w:val="auto"/>
        <w:rPr>
          <w:rFonts w:hint="eastAsia" w:ascii="宋体" w:hAnsi="宋体" w:eastAsia="宋体" w:cs="宋体"/>
          <w:b/>
          <w:bCs/>
          <w:kern w:val="0"/>
          <w:sz w:val="24"/>
          <w:szCs w:val="24"/>
          <w:highlight w:val="none"/>
        </w:rPr>
      </w:pPr>
      <w:r>
        <w:rPr>
          <w:rFonts w:hint="eastAsia" w:ascii="宋体" w:hAnsi="宋体" w:eastAsia="宋体" w:cs="宋体"/>
          <w:sz w:val="24"/>
          <w:szCs w:val="24"/>
          <w:highlight w:val="none"/>
        </w:rPr>
        <w:t>6</w:t>
      </w:r>
      <w:r>
        <w:rPr>
          <w:rFonts w:hint="eastAsia" w:ascii="宋体" w:hAnsi="宋体" w:eastAsia="宋体" w:cs="宋体"/>
          <w:sz w:val="24"/>
          <w:szCs w:val="24"/>
          <w:highlight w:val="none"/>
          <w:lang w:val="en-US" w:eastAsia="zh-CN"/>
        </w:rPr>
        <w:t>.</w:t>
      </w:r>
      <w:r>
        <w:rPr>
          <w:rFonts w:hint="eastAsia" w:ascii="宋体" w:hAnsi="宋体" w:eastAsia="宋体" w:cs="宋体"/>
          <w:sz w:val="24"/>
          <w:szCs w:val="24"/>
          <w:highlight w:val="none"/>
        </w:rPr>
        <w:t>报价以人民币计算，</w:t>
      </w:r>
      <w:r>
        <w:rPr>
          <w:rFonts w:hint="eastAsia" w:ascii="宋体" w:hAnsi="宋体" w:eastAsia="宋体" w:cs="宋体"/>
          <w:kern w:val="0"/>
          <w:sz w:val="24"/>
          <w:szCs w:val="24"/>
          <w:highlight w:val="none"/>
        </w:rPr>
        <w:t>投标报价为含税报价，开据的票据为可抵扣的</w:t>
      </w:r>
      <w:r>
        <w:rPr>
          <w:rFonts w:hint="eastAsia" w:ascii="宋体" w:hAnsi="宋体" w:eastAsia="宋体" w:cs="宋体"/>
          <w:b/>
          <w:bCs/>
          <w:kern w:val="0"/>
          <w:sz w:val="24"/>
          <w:szCs w:val="24"/>
          <w:highlight w:val="none"/>
        </w:rPr>
        <w:t>增值税专用发票。</w:t>
      </w:r>
    </w:p>
    <w:p w14:paraId="415592E2">
      <w:pPr>
        <w:keepNext w:val="0"/>
        <w:keepLines w:val="0"/>
        <w:pageBreakBefore w:val="0"/>
        <w:kinsoku/>
        <w:wordWrap/>
        <w:overflowPunct/>
        <w:topLinePunct w:val="0"/>
        <w:autoSpaceDE/>
        <w:autoSpaceDN/>
        <w:bidi w:val="0"/>
        <w:adjustRightInd w:val="0"/>
        <w:snapToGrid w:val="0"/>
        <w:spacing w:line="400" w:lineRule="exact"/>
        <w:ind w:firstLine="480" w:firstLineChars="200"/>
        <w:textAlignment w:val="auto"/>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7</w:t>
      </w:r>
      <w:r>
        <w:rPr>
          <w:rFonts w:hint="eastAsia" w:ascii="宋体" w:hAnsi="宋体" w:eastAsia="宋体" w:cs="宋体"/>
          <w:color w:val="0D0D0D" w:themeColor="text1" w:themeTint="F2"/>
          <w:sz w:val="24"/>
          <w:szCs w:val="24"/>
          <w:highlight w:val="none"/>
          <w:lang w:val="en-US" w:eastAsia="zh-CN"/>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本次招标设最高限价，低于最高限价的为有效报价，否则为废标。</w:t>
      </w:r>
    </w:p>
    <w:p w14:paraId="234ED798">
      <w:pPr>
        <w:keepNext w:val="0"/>
        <w:keepLines w:val="0"/>
        <w:pageBreakBefore w:val="0"/>
        <w:kinsoku/>
        <w:wordWrap/>
        <w:overflowPunct/>
        <w:topLinePunct w:val="0"/>
        <w:autoSpaceDE/>
        <w:autoSpaceDN/>
        <w:bidi w:val="0"/>
        <w:adjustRightInd w:val="0"/>
        <w:snapToGrid w:val="0"/>
        <w:spacing w:line="400" w:lineRule="exact"/>
        <w:ind w:firstLine="480" w:firstLineChars="200"/>
        <w:textAlignment w:val="auto"/>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8</w:t>
      </w:r>
      <w:r>
        <w:rPr>
          <w:rFonts w:hint="eastAsia" w:ascii="宋体" w:hAnsi="宋体" w:eastAsia="宋体" w:cs="宋体"/>
          <w:color w:val="0D0D0D" w:themeColor="text1" w:themeTint="F2"/>
          <w:sz w:val="24"/>
          <w:szCs w:val="24"/>
          <w:highlight w:val="none"/>
          <w:lang w:val="en-US" w:eastAsia="zh-CN"/>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本次招标项目商务报价仅为一次报定商务价格，一旦中标即为成交价。</w:t>
      </w:r>
    </w:p>
    <w:p w14:paraId="633968FD">
      <w:pPr>
        <w:keepNext w:val="0"/>
        <w:keepLines w:val="0"/>
        <w:pageBreakBefore w:val="0"/>
        <w:kinsoku/>
        <w:wordWrap/>
        <w:overflowPunct/>
        <w:topLinePunct w:val="0"/>
        <w:autoSpaceDE/>
        <w:autoSpaceDN/>
        <w:bidi w:val="0"/>
        <w:adjustRightInd w:val="0"/>
        <w:snapToGrid w:val="0"/>
        <w:spacing w:line="400" w:lineRule="exact"/>
        <w:ind w:firstLine="480" w:firstLineChars="200"/>
        <w:textAlignment w:val="auto"/>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9</w:t>
      </w:r>
      <w:r>
        <w:rPr>
          <w:rFonts w:hint="eastAsia" w:ascii="宋体" w:hAnsi="宋体" w:eastAsia="宋体" w:cs="宋体"/>
          <w:color w:val="0D0D0D" w:themeColor="text1" w:themeTint="F2"/>
          <w:sz w:val="24"/>
          <w:szCs w:val="24"/>
          <w:highlight w:val="none"/>
          <w:lang w:val="en-US" w:eastAsia="zh-CN"/>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投标人在投标报价中未列入项目的价款，将被视为已包含在其他项目中；投标人明示未列入的报价项目，将被视为主动让利或优惠，一旦中标将来不得以此为由主张任何补偿或索赔。</w:t>
      </w:r>
    </w:p>
    <w:p w14:paraId="6A3222E5">
      <w:pPr>
        <w:keepNext w:val="0"/>
        <w:keepLines w:val="0"/>
        <w:pageBreakBefore w:val="0"/>
        <w:widowControl w:val="0"/>
        <w:kinsoku/>
        <w:wordWrap/>
        <w:overflowPunct/>
        <w:topLinePunct w:val="0"/>
        <w:autoSpaceDE/>
        <w:autoSpaceDN/>
        <w:bidi w:val="0"/>
        <w:adjustRightInd/>
        <w:snapToGrid/>
        <w:spacing w:before="157" w:beforeLines="50" w:line="400" w:lineRule="exact"/>
        <w:ind w:firstLine="482" w:firstLineChars="200"/>
        <w:jc w:val="left"/>
        <w:textAlignment w:val="auto"/>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t>（四）投标担保</w:t>
      </w:r>
    </w:p>
    <w:p w14:paraId="7EAD7855">
      <w:pPr>
        <w:keepNext w:val="0"/>
        <w:keepLines w:val="0"/>
        <w:pageBreakBefore w:val="0"/>
        <w:kinsoku/>
        <w:wordWrap/>
        <w:overflowPunct/>
        <w:topLinePunct w:val="0"/>
        <w:autoSpaceDE/>
        <w:autoSpaceDN/>
        <w:bidi w:val="0"/>
        <w:adjustRightInd w:val="0"/>
        <w:snapToGrid w:val="0"/>
        <w:spacing w:line="400" w:lineRule="exact"/>
        <w:ind w:firstLine="480" w:firstLineChars="200"/>
        <w:textAlignment w:val="auto"/>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1</w:t>
      </w:r>
      <w:r>
        <w:rPr>
          <w:rFonts w:hint="eastAsia" w:ascii="宋体" w:hAnsi="宋体" w:eastAsia="宋体" w:cs="宋体"/>
          <w:color w:val="0D0D0D" w:themeColor="text1" w:themeTint="F2"/>
          <w:sz w:val="24"/>
          <w:szCs w:val="24"/>
          <w:highlight w:val="none"/>
          <w:lang w:val="en-US" w:eastAsia="zh-CN"/>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投标人在递交投标文件的同时，应按规定的金额、形式递交投标保证金，并作为其投标文件的组成部分。</w:t>
      </w:r>
    </w:p>
    <w:p w14:paraId="427F8648">
      <w:pPr>
        <w:keepNext w:val="0"/>
        <w:keepLines w:val="0"/>
        <w:pageBreakBefore w:val="0"/>
        <w:kinsoku/>
        <w:wordWrap/>
        <w:overflowPunct/>
        <w:topLinePunct w:val="0"/>
        <w:autoSpaceDE/>
        <w:autoSpaceDN/>
        <w:bidi w:val="0"/>
        <w:adjustRightInd w:val="0"/>
        <w:snapToGrid w:val="0"/>
        <w:spacing w:line="400" w:lineRule="exact"/>
        <w:ind w:firstLine="482" w:firstLineChars="200"/>
        <w:textAlignment w:val="auto"/>
        <w:rPr>
          <w:rFonts w:hint="eastAsia" w:ascii="宋体" w:hAnsi="宋体" w:eastAsia="宋体" w:cs="宋体"/>
          <w:b/>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b/>
          <w:color w:val="0D0D0D" w:themeColor="text1" w:themeTint="F2"/>
          <w:sz w:val="24"/>
          <w:szCs w:val="24"/>
          <w:highlight w:val="none"/>
          <w14:textFill>
            <w14:solidFill>
              <w14:schemeClr w14:val="tx1">
                <w14:lumMod w14:val="95000"/>
                <w14:lumOff w14:val="5000"/>
              </w14:schemeClr>
            </w14:solidFill>
          </w14:textFill>
        </w:rPr>
        <w:t>2</w:t>
      </w:r>
      <w:r>
        <w:rPr>
          <w:rFonts w:hint="eastAsia" w:ascii="宋体" w:hAnsi="宋体" w:eastAsia="宋体" w:cs="宋体"/>
          <w:b/>
          <w:color w:val="0D0D0D" w:themeColor="text1" w:themeTint="F2"/>
          <w:sz w:val="24"/>
          <w:szCs w:val="24"/>
          <w:highlight w:val="none"/>
          <w:lang w:val="en-US" w:eastAsia="zh-CN"/>
          <w14:textFill>
            <w14:solidFill>
              <w14:schemeClr w14:val="tx1">
                <w14:lumMod w14:val="95000"/>
                <w14:lumOff w14:val="5000"/>
              </w14:schemeClr>
            </w14:solidFill>
          </w14:textFill>
        </w:rPr>
        <w:t>.</w:t>
      </w:r>
      <w:r>
        <w:rPr>
          <w:rFonts w:hint="eastAsia" w:ascii="宋体" w:hAnsi="宋体" w:eastAsia="宋体" w:cs="宋体"/>
          <w:b/>
          <w:color w:val="0D0D0D" w:themeColor="text1" w:themeTint="F2"/>
          <w:sz w:val="24"/>
          <w:szCs w:val="24"/>
          <w:highlight w:val="none"/>
          <w14:textFill>
            <w14:solidFill>
              <w14:schemeClr w14:val="tx1">
                <w14:lumMod w14:val="95000"/>
                <w14:lumOff w14:val="5000"/>
              </w14:schemeClr>
            </w14:solidFill>
          </w14:textFill>
        </w:rPr>
        <w:t>本项目投标保证金数额为1000元整（现金），未按规定提交投标保证金的投标文件，招标人将按不符合性投标而予以拒绝。</w:t>
      </w:r>
    </w:p>
    <w:p w14:paraId="303C4874">
      <w:pPr>
        <w:keepNext w:val="0"/>
        <w:keepLines w:val="0"/>
        <w:pageBreakBefore w:val="0"/>
        <w:kinsoku/>
        <w:wordWrap/>
        <w:overflowPunct/>
        <w:topLinePunct w:val="0"/>
        <w:autoSpaceDE/>
        <w:autoSpaceDN/>
        <w:bidi w:val="0"/>
        <w:adjustRightInd w:val="0"/>
        <w:snapToGrid w:val="0"/>
        <w:spacing w:line="400" w:lineRule="exact"/>
        <w:ind w:firstLine="480" w:firstLineChars="200"/>
        <w:textAlignment w:val="auto"/>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3</w:t>
      </w:r>
      <w:r>
        <w:rPr>
          <w:rFonts w:hint="eastAsia" w:ascii="宋体" w:hAnsi="宋体" w:eastAsia="宋体" w:cs="宋体"/>
          <w:color w:val="0D0D0D" w:themeColor="text1" w:themeTint="F2"/>
          <w:sz w:val="24"/>
          <w:szCs w:val="24"/>
          <w:highlight w:val="none"/>
          <w:lang w:val="en-US" w:eastAsia="zh-CN"/>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保证金的退还：未中标的投标人的投标保证金将在开标结束后根据招投标实际情况予以退还（无息）；中标人的投标保证金，在签署合同后无息退还。</w:t>
      </w:r>
    </w:p>
    <w:p w14:paraId="4FBDA176">
      <w:pPr>
        <w:keepNext w:val="0"/>
        <w:keepLines w:val="0"/>
        <w:pageBreakBefore w:val="0"/>
        <w:kinsoku/>
        <w:wordWrap/>
        <w:overflowPunct/>
        <w:topLinePunct w:val="0"/>
        <w:autoSpaceDE/>
        <w:autoSpaceDN/>
        <w:bidi w:val="0"/>
        <w:spacing w:line="400" w:lineRule="exact"/>
        <w:ind w:firstLine="525"/>
        <w:textAlignment w:val="auto"/>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snapToGrid w:val="0"/>
          <w:color w:val="0D0D0D" w:themeColor="text1" w:themeTint="F2"/>
          <w:kern w:val="0"/>
          <w:sz w:val="24"/>
          <w:szCs w:val="24"/>
          <w:highlight w:val="none"/>
          <w14:textFill>
            <w14:solidFill>
              <w14:schemeClr w14:val="tx1">
                <w14:lumMod w14:val="95000"/>
                <w14:lumOff w14:val="5000"/>
              </w14:schemeClr>
            </w14:solidFill>
          </w14:textFill>
        </w:rPr>
        <w:t>4</w:t>
      </w:r>
      <w:r>
        <w:rPr>
          <w:rFonts w:hint="eastAsia" w:ascii="宋体" w:hAnsi="宋体" w:eastAsia="宋体" w:cs="宋体"/>
          <w:snapToGrid w:val="0"/>
          <w:color w:val="0D0D0D" w:themeColor="text1" w:themeTint="F2"/>
          <w:kern w:val="0"/>
          <w:sz w:val="24"/>
          <w:szCs w:val="24"/>
          <w:highlight w:val="none"/>
          <w:lang w:val="en-US" w:eastAsia="zh-CN"/>
          <w14:textFill>
            <w14:solidFill>
              <w14:schemeClr w14:val="tx1">
                <w14:lumMod w14:val="95000"/>
                <w14:lumOff w14:val="5000"/>
              </w14:schemeClr>
            </w14:solidFill>
          </w14:textFill>
        </w:rPr>
        <w:t>.</w:t>
      </w:r>
      <w:r>
        <w:rPr>
          <w:rFonts w:hint="eastAsia" w:ascii="宋体" w:hAnsi="宋体" w:eastAsia="宋体" w:cs="宋体"/>
          <w:snapToGrid w:val="0"/>
          <w:color w:val="0D0D0D" w:themeColor="text1" w:themeTint="F2"/>
          <w:kern w:val="0"/>
          <w:sz w:val="24"/>
          <w:szCs w:val="24"/>
          <w:highlight w:val="none"/>
          <w14:textFill>
            <w14:solidFill>
              <w14:schemeClr w14:val="tx1">
                <w14:lumMod w14:val="95000"/>
                <w14:lumOff w14:val="5000"/>
              </w14:schemeClr>
            </w14:solidFill>
          </w14:textFill>
        </w:rPr>
        <w:t>投标人出现下列情况，经评标委员会核实后，招标人有权取消其中标资格，并没收其投标保证金。</w:t>
      </w:r>
    </w:p>
    <w:p w14:paraId="39D3D82C">
      <w:pPr>
        <w:keepNext w:val="0"/>
        <w:keepLines w:val="0"/>
        <w:pageBreakBefore w:val="0"/>
        <w:widowControl/>
        <w:tabs>
          <w:tab w:val="left" w:pos="0"/>
          <w:tab w:val="left" w:pos="993"/>
          <w:tab w:val="left" w:pos="1134"/>
        </w:tabs>
        <w:kinsoku/>
        <w:wordWrap/>
        <w:overflowPunct/>
        <w:topLinePunct w:val="0"/>
        <w:autoSpaceDE/>
        <w:autoSpaceDN/>
        <w:bidi w:val="0"/>
        <w:adjustRightInd w:val="0"/>
        <w:snapToGrid w:val="0"/>
        <w:spacing w:line="400" w:lineRule="exact"/>
        <w:ind w:firstLine="480" w:firstLineChars="200"/>
        <w:jc w:val="left"/>
        <w:textAlignment w:val="auto"/>
        <w:rPr>
          <w:rFonts w:hint="eastAsia" w:ascii="宋体" w:hAnsi="宋体" w:eastAsia="宋体" w:cs="宋体"/>
          <w:snapToGrid w:val="0"/>
          <w:color w:val="0D0D0D" w:themeColor="text1" w:themeTint="F2"/>
          <w:kern w:val="0"/>
          <w:sz w:val="24"/>
          <w:szCs w:val="24"/>
          <w:highlight w:val="none"/>
          <w14:textFill>
            <w14:solidFill>
              <w14:schemeClr w14:val="tx1">
                <w14:lumMod w14:val="95000"/>
                <w14:lumOff w14:val="5000"/>
              </w14:schemeClr>
            </w14:solidFill>
          </w14:textFill>
        </w:rPr>
      </w:pPr>
      <w:r>
        <w:rPr>
          <w:rFonts w:hint="eastAsia" w:ascii="宋体" w:hAnsi="宋体" w:eastAsia="宋体" w:cs="宋体"/>
          <w:snapToGrid w:val="0"/>
          <w:color w:val="0D0D0D" w:themeColor="text1" w:themeTint="F2"/>
          <w:kern w:val="0"/>
          <w:sz w:val="24"/>
          <w:szCs w:val="24"/>
          <w:highlight w:val="none"/>
          <w14:textFill>
            <w14:solidFill>
              <w14:schemeClr w14:val="tx1">
                <w14:lumMod w14:val="95000"/>
                <w14:lumOff w14:val="5000"/>
              </w14:schemeClr>
            </w14:solidFill>
          </w14:textFill>
        </w:rPr>
        <w:t>（1）投标人在投标有效期内撤回其投标文件；</w:t>
      </w:r>
    </w:p>
    <w:p w14:paraId="64D41C2D">
      <w:pPr>
        <w:keepNext w:val="0"/>
        <w:keepLines w:val="0"/>
        <w:pageBreakBefore w:val="0"/>
        <w:widowControl/>
        <w:tabs>
          <w:tab w:val="left" w:pos="0"/>
          <w:tab w:val="left" w:pos="993"/>
          <w:tab w:val="left" w:pos="1134"/>
        </w:tabs>
        <w:kinsoku/>
        <w:wordWrap/>
        <w:overflowPunct/>
        <w:topLinePunct w:val="0"/>
        <w:autoSpaceDE/>
        <w:autoSpaceDN/>
        <w:bidi w:val="0"/>
        <w:adjustRightInd w:val="0"/>
        <w:snapToGrid w:val="0"/>
        <w:spacing w:line="400" w:lineRule="exact"/>
        <w:ind w:firstLine="480" w:firstLineChars="200"/>
        <w:jc w:val="left"/>
        <w:textAlignment w:val="auto"/>
        <w:rPr>
          <w:rFonts w:hint="eastAsia" w:ascii="宋体" w:hAnsi="宋体" w:eastAsia="宋体" w:cs="宋体"/>
          <w:snapToGrid w:val="0"/>
          <w:color w:val="0D0D0D" w:themeColor="text1" w:themeTint="F2"/>
          <w:kern w:val="0"/>
          <w:sz w:val="24"/>
          <w:szCs w:val="24"/>
          <w:highlight w:val="none"/>
          <w14:textFill>
            <w14:solidFill>
              <w14:schemeClr w14:val="tx1">
                <w14:lumMod w14:val="95000"/>
                <w14:lumOff w14:val="5000"/>
              </w14:schemeClr>
            </w14:solidFill>
          </w14:textFill>
        </w:rPr>
      </w:pPr>
      <w:r>
        <w:rPr>
          <w:rFonts w:hint="eastAsia" w:ascii="宋体" w:hAnsi="宋体" w:eastAsia="宋体" w:cs="宋体"/>
          <w:snapToGrid w:val="0"/>
          <w:color w:val="0D0D0D" w:themeColor="text1" w:themeTint="F2"/>
          <w:kern w:val="0"/>
          <w:sz w:val="24"/>
          <w:szCs w:val="24"/>
          <w:highlight w:val="none"/>
          <w14:textFill>
            <w14:solidFill>
              <w14:schemeClr w14:val="tx1">
                <w14:lumMod w14:val="95000"/>
                <w14:lumOff w14:val="5000"/>
              </w14:schemeClr>
            </w14:solidFill>
          </w14:textFill>
        </w:rPr>
        <w:t>（2）中标人无正当理由拒绝签订合同；</w:t>
      </w:r>
    </w:p>
    <w:p w14:paraId="2CAD4611">
      <w:pPr>
        <w:keepNext w:val="0"/>
        <w:keepLines w:val="0"/>
        <w:pageBreakBefore w:val="0"/>
        <w:widowControl/>
        <w:tabs>
          <w:tab w:val="left" w:pos="0"/>
          <w:tab w:val="left" w:pos="993"/>
          <w:tab w:val="left" w:pos="1134"/>
        </w:tabs>
        <w:kinsoku/>
        <w:wordWrap/>
        <w:overflowPunct/>
        <w:topLinePunct w:val="0"/>
        <w:autoSpaceDE/>
        <w:autoSpaceDN/>
        <w:bidi w:val="0"/>
        <w:adjustRightInd w:val="0"/>
        <w:snapToGrid w:val="0"/>
        <w:spacing w:line="400" w:lineRule="exact"/>
        <w:ind w:firstLine="480" w:firstLineChars="200"/>
        <w:jc w:val="left"/>
        <w:textAlignment w:val="auto"/>
        <w:rPr>
          <w:rFonts w:hint="eastAsia" w:ascii="宋体" w:hAnsi="宋体" w:eastAsia="宋体" w:cs="宋体"/>
          <w:snapToGrid w:val="0"/>
          <w:color w:val="0D0D0D" w:themeColor="text1" w:themeTint="F2"/>
          <w:kern w:val="0"/>
          <w:sz w:val="24"/>
          <w:szCs w:val="24"/>
          <w:highlight w:val="none"/>
          <w14:textFill>
            <w14:solidFill>
              <w14:schemeClr w14:val="tx1">
                <w14:lumMod w14:val="95000"/>
                <w14:lumOff w14:val="5000"/>
              </w14:schemeClr>
            </w14:solidFill>
          </w14:textFill>
        </w:rPr>
      </w:pPr>
      <w:r>
        <w:rPr>
          <w:rFonts w:hint="eastAsia" w:ascii="宋体" w:hAnsi="宋体" w:eastAsia="宋体" w:cs="宋体"/>
          <w:snapToGrid w:val="0"/>
          <w:color w:val="0D0D0D" w:themeColor="text1" w:themeTint="F2"/>
          <w:kern w:val="0"/>
          <w:sz w:val="24"/>
          <w:szCs w:val="24"/>
          <w:highlight w:val="none"/>
          <w14:textFill>
            <w14:solidFill>
              <w14:schemeClr w14:val="tx1">
                <w14:lumMod w14:val="95000"/>
                <w14:lumOff w14:val="5000"/>
              </w14:schemeClr>
            </w14:solidFill>
          </w14:textFill>
        </w:rPr>
        <w:t>（3）中标人未能在招标文件规定的期限内提交履约担保。</w:t>
      </w:r>
    </w:p>
    <w:p w14:paraId="346C2CD9">
      <w:pPr>
        <w:keepNext w:val="0"/>
        <w:keepLines w:val="0"/>
        <w:pageBreakBefore w:val="0"/>
        <w:widowControl w:val="0"/>
        <w:kinsoku/>
        <w:wordWrap/>
        <w:overflowPunct/>
        <w:topLinePunct w:val="0"/>
        <w:autoSpaceDE/>
        <w:autoSpaceDN/>
        <w:bidi w:val="0"/>
        <w:adjustRightInd/>
        <w:snapToGrid/>
        <w:spacing w:before="157" w:beforeLines="50" w:line="400" w:lineRule="exact"/>
        <w:ind w:firstLine="482" w:firstLineChars="200"/>
        <w:jc w:val="left"/>
        <w:textAlignment w:val="auto"/>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t>（五）投标文件的份数和签署</w:t>
      </w:r>
    </w:p>
    <w:p w14:paraId="3EE02351">
      <w:pPr>
        <w:keepNext w:val="0"/>
        <w:keepLines w:val="0"/>
        <w:pageBreakBefore w:val="0"/>
        <w:kinsoku/>
        <w:wordWrap/>
        <w:overflowPunct/>
        <w:topLinePunct w:val="0"/>
        <w:autoSpaceDE/>
        <w:autoSpaceDN/>
        <w:bidi w:val="0"/>
        <w:spacing w:line="400" w:lineRule="exact"/>
        <w:ind w:firstLine="480" w:firstLineChars="200"/>
        <w:jc w:val="left"/>
        <w:textAlignment w:val="auto"/>
        <w:rPr>
          <w:rFonts w:hint="eastAsia" w:ascii="宋体" w:hAnsi="宋体" w:eastAsia="宋体" w:cs="宋体"/>
          <w:b/>
          <w:color w:val="0D0D0D" w:themeColor="text1" w:themeTint="F2"/>
          <w:sz w:val="24"/>
          <w:szCs w:val="24"/>
          <w:highlight w:val="none"/>
          <w:u w:val="singl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1</w:t>
      </w:r>
      <w:r>
        <w:rPr>
          <w:rFonts w:hint="eastAsia" w:ascii="宋体" w:hAnsi="宋体" w:eastAsia="宋体" w:cs="宋体"/>
          <w:color w:val="0D0D0D" w:themeColor="text1" w:themeTint="F2"/>
          <w:sz w:val="24"/>
          <w:szCs w:val="24"/>
          <w:highlight w:val="none"/>
          <w:lang w:val="en-US" w:eastAsia="zh-CN"/>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投标人应按招标文件的规定，向招标单位提交</w:t>
      </w:r>
      <w:r>
        <w:rPr>
          <w:rFonts w:hint="eastAsia" w:ascii="宋体" w:hAnsi="宋体" w:eastAsia="宋体" w:cs="宋体"/>
          <w:b/>
          <w:color w:val="0D0D0D" w:themeColor="text1" w:themeTint="F2"/>
          <w:sz w:val="24"/>
          <w:szCs w:val="24"/>
          <w:highlight w:val="none"/>
          <w:u w:val="single"/>
          <w14:textFill>
            <w14:solidFill>
              <w14:schemeClr w14:val="tx1">
                <w14:lumMod w14:val="95000"/>
                <w14:lumOff w14:val="5000"/>
              </w14:schemeClr>
            </w14:solidFill>
          </w14:textFill>
        </w:rPr>
        <w:t>三份纸质投标文件</w:t>
      </w: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w:t>
      </w:r>
      <w:r>
        <w:rPr>
          <w:rFonts w:hint="eastAsia" w:ascii="宋体" w:hAnsi="宋体" w:eastAsia="宋体" w:cs="宋体"/>
          <w:b/>
          <w:bCs/>
          <w:color w:val="0D0D0D" w:themeColor="text1" w:themeTint="F2"/>
          <w:sz w:val="24"/>
          <w:szCs w:val="24"/>
          <w:highlight w:val="none"/>
          <w:u w:val="single"/>
          <w14:textFill>
            <w14:solidFill>
              <w14:schemeClr w14:val="tx1">
                <w14:lumMod w14:val="95000"/>
                <w14:lumOff w14:val="5000"/>
              </w14:schemeClr>
            </w14:solidFill>
          </w14:textFill>
        </w:rPr>
        <w:t>包括资格审查文件、价格标文件</w:t>
      </w:r>
      <w:r>
        <w:rPr>
          <w:rFonts w:hint="eastAsia" w:ascii="宋体" w:hAnsi="宋体" w:eastAsia="宋体" w:cs="宋体"/>
          <w:color w:val="0D0D0D" w:themeColor="text1" w:themeTint="F2"/>
          <w:sz w:val="24"/>
          <w:szCs w:val="24"/>
          <w:highlight w:val="none"/>
          <w:u w:val="single"/>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，其中正本一份、副本二份，并在（</w:t>
      </w:r>
      <w:r>
        <w:rPr>
          <w:rFonts w:hint="eastAsia" w:ascii="宋体" w:hAnsi="宋体" w:eastAsia="宋体" w:cs="宋体"/>
          <w:b/>
          <w:bCs/>
          <w:color w:val="0D0D0D" w:themeColor="text1" w:themeTint="F2"/>
          <w:sz w:val="24"/>
          <w:szCs w:val="24"/>
          <w:highlight w:val="none"/>
          <w:u w:val="single"/>
          <w14:textFill>
            <w14:solidFill>
              <w14:schemeClr w14:val="tx1">
                <w14:lumMod w14:val="95000"/>
                <w14:lumOff w14:val="5000"/>
              </w14:schemeClr>
            </w14:solidFill>
          </w14:textFill>
        </w:rPr>
        <w:t>资格审查文件、价格标文件</w:t>
      </w:r>
      <w:r>
        <w:rPr>
          <w:rFonts w:hint="eastAsia" w:ascii="宋体" w:hAnsi="宋体" w:eastAsia="宋体" w:cs="宋体"/>
          <w:color w:val="0D0D0D" w:themeColor="text1" w:themeTint="F2"/>
          <w:sz w:val="24"/>
          <w:szCs w:val="24"/>
          <w:highlight w:val="none"/>
          <w:u w:val="single"/>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封面上注明“正本”或“副本”字样，当正本与副本不一致时，以正本为准；</w:t>
      </w:r>
      <w:r>
        <w:rPr>
          <w:rFonts w:hint="eastAsia" w:ascii="宋体" w:hAnsi="宋体" w:eastAsia="宋体" w:cs="宋体"/>
          <w:b/>
          <w:color w:val="0D0D0D" w:themeColor="text1" w:themeTint="F2"/>
          <w:sz w:val="24"/>
          <w:szCs w:val="24"/>
          <w:highlight w:val="none"/>
          <w:u w:val="single"/>
          <w14:textFill>
            <w14:solidFill>
              <w14:schemeClr w14:val="tx1">
                <w14:lumMod w14:val="95000"/>
                <w14:lumOff w14:val="5000"/>
              </w14:schemeClr>
            </w14:solidFill>
          </w14:textFill>
        </w:rPr>
        <w:t>（</w:t>
      </w:r>
      <w:r>
        <w:rPr>
          <w:rFonts w:hint="eastAsia" w:ascii="宋体" w:hAnsi="宋体" w:eastAsia="宋体" w:cs="宋体"/>
          <w:b/>
          <w:bCs/>
          <w:color w:val="0D0D0D" w:themeColor="text1" w:themeTint="F2"/>
          <w:sz w:val="24"/>
          <w:szCs w:val="24"/>
          <w:highlight w:val="none"/>
          <w:u w:val="single"/>
          <w14:textFill>
            <w14:solidFill>
              <w14:schemeClr w14:val="tx1">
                <w14:lumMod w14:val="95000"/>
                <w14:lumOff w14:val="5000"/>
              </w14:schemeClr>
            </w14:solidFill>
          </w14:textFill>
        </w:rPr>
        <w:t>资格审查文件、价格标文件</w:t>
      </w:r>
      <w:r>
        <w:rPr>
          <w:rFonts w:hint="eastAsia" w:ascii="宋体" w:hAnsi="宋体" w:eastAsia="宋体" w:cs="宋体"/>
          <w:b/>
          <w:color w:val="0D0D0D" w:themeColor="text1" w:themeTint="F2"/>
          <w:sz w:val="24"/>
          <w:szCs w:val="24"/>
          <w:highlight w:val="none"/>
          <w:u w:val="single"/>
          <w14:textFill>
            <w14:solidFill>
              <w14:schemeClr w14:val="tx1">
                <w14:lumMod w14:val="95000"/>
                <w14:lumOff w14:val="5000"/>
              </w14:schemeClr>
            </w14:solidFill>
          </w14:textFill>
        </w:rPr>
        <w:t>）封面上还应注明项目名称并加盖投标单位公章、法定代表人签字或印鉴或委托代理人签字。</w:t>
      </w:r>
    </w:p>
    <w:p w14:paraId="02A92AE5">
      <w:pPr>
        <w:keepNext w:val="0"/>
        <w:keepLines w:val="0"/>
        <w:pageBreakBefore w:val="0"/>
        <w:kinsoku/>
        <w:wordWrap/>
        <w:overflowPunct/>
        <w:topLinePunct w:val="0"/>
        <w:autoSpaceDE/>
        <w:autoSpaceDN/>
        <w:bidi w:val="0"/>
        <w:spacing w:line="400" w:lineRule="exact"/>
        <w:ind w:firstLine="480" w:firstLineChars="200"/>
        <w:jc w:val="left"/>
        <w:textAlignment w:val="auto"/>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2</w:t>
      </w:r>
      <w:r>
        <w:rPr>
          <w:rFonts w:hint="eastAsia" w:ascii="宋体" w:hAnsi="宋体" w:eastAsia="宋体" w:cs="宋体"/>
          <w:color w:val="0D0D0D" w:themeColor="text1" w:themeTint="F2"/>
          <w:sz w:val="24"/>
          <w:szCs w:val="24"/>
          <w:highlight w:val="none"/>
          <w:lang w:val="en-US" w:eastAsia="zh-CN"/>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投标文件正副本均应使用A4纸统一装订，且均应使用不能擦去的墨水书写或打印，按要求在投标文件上加盖投标人单位公章并由法定代表人签字或盖章或由委托代理人签字。</w:t>
      </w:r>
    </w:p>
    <w:p w14:paraId="1C61BD5F">
      <w:pPr>
        <w:keepNext w:val="0"/>
        <w:keepLines w:val="0"/>
        <w:pageBreakBefore w:val="0"/>
        <w:kinsoku/>
        <w:wordWrap/>
        <w:overflowPunct/>
        <w:topLinePunct w:val="0"/>
        <w:autoSpaceDE/>
        <w:autoSpaceDN/>
        <w:bidi w:val="0"/>
        <w:spacing w:line="400" w:lineRule="exact"/>
        <w:ind w:firstLine="480" w:firstLineChars="200"/>
        <w:jc w:val="left"/>
        <w:textAlignment w:val="auto"/>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3</w:t>
      </w:r>
      <w:r>
        <w:rPr>
          <w:rFonts w:hint="eastAsia" w:ascii="宋体" w:hAnsi="宋体" w:eastAsia="宋体" w:cs="宋体"/>
          <w:color w:val="0D0D0D" w:themeColor="text1" w:themeTint="F2"/>
          <w:sz w:val="24"/>
          <w:szCs w:val="24"/>
          <w:highlight w:val="none"/>
          <w:lang w:val="en-US" w:eastAsia="zh-CN"/>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全套投标文件应无修改和行间插字，除非这些修改是根据“招标文件修改通知”的要求进行的，或者是投标人明显笔误必须修改的。不论何种原因造成涂改、插字和删除，都应由投标文件签署人加盖印鉴。</w:t>
      </w:r>
    </w:p>
    <w:p w14:paraId="4DEB3879">
      <w:pPr>
        <w:keepNext w:val="0"/>
        <w:keepLines w:val="0"/>
        <w:pageBreakBefore w:val="0"/>
        <w:widowControl w:val="0"/>
        <w:kinsoku/>
        <w:wordWrap/>
        <w:overflowPunct/>
        <w:topLinePunct w:val="0"/>
        <w:autoSpaceDE/>
        <w:autoSpaceDN/>
        <w:bidi w:val="0"/>
        <w:adjustRightInd/>
        <w:snapToGrid/>
        <w:spacing w:before="625" w:beforeLines="200" w:after="313" w:afterLines="100" w:line="400" w:lineRule="exact"/>
        <w:jc w:val="center"/>
        <w:textAlignment w:val="auto"/>
        <w:rPr>
          <w:rFonts w:hint="eastAsia" w:ascii="宋体" w:hAnsi="宋体" w:eastAsia="宋体" w:cs="宋体"/>
          <w:b/>
          <w:bCs/>
          <w:color w:val="0D0D0D" w:themeColor="text1" w:themeTint="F2"/>
          <w:sz w:val="32"/>
          <w:szCs w:val="32"/>
          <w:highlight w:val="none"/>
          <w14:textFill>
            <w14:solidFill>
              <w14:schemeClr w14:val="tx1">
                <w14:lumMod w14:val="95000"/>
                <w14:lumOff w14:val="5000"/>
              </w14:schemeClr>
            </w14:solidFill>
          </w14:textFill>
        </w:rPr>
      </w:pPr>
      <w:r>
        <w:rPr>
          <w:rFonts w:hint="eastAsia" w:ascii="宋体" w:hAnsi="宋体" w:eastAsia="宋体" w:cs="宋体"/>
          <w:b/>
          <w:bCs/>
          <w:color w:val="0D0D0D" w:themeColor="text1" w:themeTint="F2"/>
          <w:sz w:val="32"/>
          <w:szCs w:val="32"/>
          <w:highlight w:val="none"/>
          <w14:textFill>
            <w14:solidFill>
              <w14:schemeClr w14:val="tx1">
                <w14:lumMod w14:val="95000"/>
                <w14:lumOff w14:val="5000"/>
              </w14:schemeClr>
            </w14:solidFill>
          </w14:textFill>
        </w:rPr>
        <w:t>四、投标文件的递交</w:t>
      </w:r>
    </w:p>
    <w:p w14:paraId="5948EF06">
      <w:pPr>
        <w:keepNext w:val="0"/>
        <w:keepLines w:val="0"/>
        <w:pageBreakBefore w:val="0"/>
        <w:widowControl w:val="0"/>
        <w:kinsoku/>
        <w:wordWrap/>
        <w:overflowPunct/>
        <w:topLinePunct w:val="0"/>
        <w:autoSpaceDE/>
        <w:autoSpaceDN/>
        <w:bidi w:val="0"/>
        <w:adjustRightInd/>
        <w:snapToGrid/>
        <w:spacing w:line="395" w:lineRule="exact"/>
        <w:ind w:firstLine="482" w:firstLineChars="200"/>
        <w:jc w:val="left"/>
        <w:textAlignment w:val="auto"/>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t>（一）投标文件的密封与标志</w:t>
      </w:r>
    </w:p>
    <w:p w14:paraId="323510E8">
      <w:pPr>
        <w:keepNext w:val="0"/>
        <w:keepLines w:val="0"/>
        <w:pageBreakBefore w:val="0"/>
        <w:widowControl w:val="0"/>
        <w:kinsoku/>
        <w:wordWrap/>
        <w:overflowPunct/>
        <w:topLinePunct w:val="0"/>
        <w:autoSpaceDE/>
        <w:autoSpaceDN/>
        <w:bidi w:val="0"/>
        <w:adjustRightInd/>
        <w:snapToGrid/>
        <w:spacing w:line="395" w:lineRule="exact"/>
        <w:ind w:firstLine="480" w:firstLineChars="200"/>
        <w:jc w:val="left"/>
        <w:textAlignment w:val="auto"/>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b w:val="0"/>
          <w:bCs w:val="0"/>
          <w:color w:val="0D0D0D" w:themeColor="text1" w:themeTint="F2"/>
          <w:sz w:val="24"/>
          <w:szCs w:val="24"/>
          <w:highlight w:val="none"/>
          <w:u w:val="single"/>
          <w14:textFill>
            <w14:solidFill>
              <w14:schemeClr w14:val="tx1">
                <w14:lumMod w14:val="95000"/>
                <w14:lumOff w14:val="5000"/>
              </w14:schemeClr>
            </w14:solidFill>
          </w14:textFill>
        </w:rPr>
        <w:t>投标文件中的资格审查文件、价格标文件两部分必须分开单独密封；“正本”或“副本”可分开密封，也可统一密封；所有封袋上</w:t>
      </w:r>
      <w:r>
        <w:rPr>
          <w:rFonts w:hint="eastAsia" w:ascii="宋体" w:hAnsi="宋体" w:eastAsia="宋体" w:cs="宋体"/>
          <w:b w:val="0"/>
          <w:bCs w:val="0"/>
          <w:color w:val="0D0D0D" w:themeColor="text1" w:themeTint="F2"/>
          <w:sz w:val="24"/>
          <w:szCs w:val="24"/>
          <w:highlight w:val="none"/>
          <w14:textFill>
            <w14:solidFill>
              <w14:schemeClr w14:val="tx1">
                <w14:lumMod w14:val="95000"/>
                <w14:lumOff w14:val="5000"/>
              </w14:schemeClr>
            </w14:solidFill>
          </w14:textFill>
        </w:rPr>
        <w:t>都应写明项目名称、投标单位名称，</w:t>
      </w:r>
      <w:r>
        <w:rPr>
          <w:rFonts w:hint="eastAsia" w:ascii="宋体" w:hAnsi="宋体" w:eastAsia="宋体" w:cs="宋体"/>
          <w:b w:val="0"/>
          <w:bCs w:val="0"/>
          <w:color w:val="0D0D0D" w:themeColor="text1" w:themeTint="F2"/>
          <w:sz w:val="24"/>
          <w:szCs w:val="24"/>
          <w:highlight w:val="none"/>
          <w:u w:val="single"/>
          <w14:textFill>
            <w14:solidFill>
              <w14:schemeClr w14:val="tx1">
                <w14:lumMod w14:val="95000"/>
                <w14:lumOff w14:val="5000"/>
              </w14:schemeClr>
            </w14:solidFill>
          </w14:textFill>
        </w:rPr>
        <w:t>并注明“资格审查文件”或 “价格标文件”</w:t>
      </w:r>
      <w:r>
        <w:rPr>
          <w:rFonts w:hint="eastAsia" w:ascii="宋体" w:hAnsi="宋体" w:eastAsia="宋体" w:cs="宋体"/>
          <w:b w:val="0"/>
          <w:bCs w:val="0"/>
          <w:color w:val="0D0D0D" w:themeColor="text1" w:themeTint="F2"/>
          <w:sz w:val="24"/>
          <w:szCs w:val="24"/>
          <w:highlight w:val="none"/>
          <w14:textFill>
            <w14:solidFill>
              <w14:schemeClr w14:val="tx1">
                <w14:lumMod w14:val="95000"/>
                <w14:lumOff w14:val="5000"/>
              </w14:schemeClr>
            </w14:solidFill>
          </w14:textFill>
        </w:rPr>
        <w:t>并加盖</w:t>
      </w: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投标单位公章、法定代表人签字或印鉴或委托代理人签字。</w:t>
      </w:r>
    </w:p>
    <w:p w14:paraId="167472BF">
      <w:pPr>
        <w:keepNext w:val="0"/>
        <w:keepLines w:val="0"/>
        <w:pageBreakBefore w:val="0"/>
        <w:widowControl w:val="0"/>
        <w:kinsoku/>
        <w:wordWrap/>
        <w:overflowPunct/>
        <w:topLinePunct w:val="0"/>
        <w:autoSpaceDE/>
        <w:autoSpaceDN/>
        <w:bidi w:val="0"/>
        <w:adjustRightInd/>
        <w:snapToGrid/>
        <w:spacing w:before="157" w:beforeLines="50" w:line="395" w:lineRule="exact"/>
        <w:ind w:firstLine="482" w:firstLineChars="200"/>
        <w:jc w:val="left"/>
        <w:textAlignment w:val="auto"/>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t>（二）投标截止期</w:t>
      </w:r>
    </w:p>
    <w:p w14:paraId="23DBF24B">
      <w:pPr>
        <w:keepNext w:val="0"/>
        <w:keepLines w:val="0"/>
        <w:pageBreakBefore w:val="0"/>
        <w:widowControl w:val="0"/>
        <w:kinsoku/>
        <w:wordWrap/>
        <w:overflowPunct/>
        <w:topLinePunct w:val="0"/>
        <w:autoSpaceDE/>
        <w:autoSpaceDN/>
        <w:bidi w:val="0"/>
        <w:adjustRightInd/>
        <w:snapToGrid/>
        <w:spacing w:line="395" w:lineRule="exact"/>
        <w:ind w:firstLine="480" w:firstLineChars="200"/>
        <w:jc w:val="left"/>
        <w:textAlignment w:val="auto"/>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1</w:t>
      </w:r>
      <w:r>
        <w:rPr>
          <w:rFonts w:hint="eastAsia" w:ascii="宋体" w:hAnsi="宋体" w:eastAsia="宋体" w:cs="宋体"/>
          <w:color w:val="0D0D0D" w:themeColor="text1" w:themeTint="F2"/>
          <w:sz w:val="24"/>
          <w:szCs w:val="24"/>
          <w:highlight w:val="none"/>
          <w:lang w:val="en-US" w:eastAsia="zh-CN"/>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投标人应在投标须知前附表中规定的投标截止时间之前将投标文件递交到指定地点并在登记表上签字。招标人在接到投标文件时将投标文件注明收到的日期和时间。</w:t>
      </w:r>
    </w:p>
    <w:p w14:paraId="5F873E43">
      <w:pPr>
        <w:keepNext w:val="0"/>
        <w:keepLines w:val="0"/>
        <w:pageBreakBefore w:val="0"/>
        <w:widowControl w:val="0"/>
        <w:kinsoku/>
        <w:wordWrap/>
        <w:overflowPunct/>
        <w:topLinePunct w:val="0"/>
        <w:autoSpaceDE/>
        <w:autoSpaceDN/>
        <w:bidi w:val="0"/>
        <w:adjustRightInd/>
        <w:snapToGrid/>
        <w:spacing w:line="395" w:lineRule="exact"/>
        <w:ind w:firstLine="480" w:firstLineChars="200"/>
        <w:jc w:val="left"/>
        <w:textAlignment w:val="auto"/>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2</w:t>
      </w:r>
      <w:r>
        <w:rPr>
          <w:rFonts w:hint="eastAsia" w:ascii="宋体" w:hAnsi="宋体" w:eastAsia="宋体" w:cs="宋体"/>
          <w:color w:val="0D0D0D" w:themeColor="text1" w:themeTint="F2"/>
          <w:sz w:val="24"/>
          <w:szCs w:val="24"/>
          <w:highlight w:val="none"/>
          <w:lang w:val="en-US" w:eastAsia="zh-CN"/>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招标人可以按本文件第（七）条规定以修改通知的方式，酌情延长递交投标文件的截止日期。在上述情况下，招标人与投标人以前的投标截止期方面的全部权力、责任和义务，将适用于延长后新的投标截止期。</w:t>
      </w:r>
    </w:p>
    <w:p w14:paraId="2E66489D">
      <w:pPr>
        <w:keepNext w:val="0"/>
        <w:keepLines w:val="0"/>
        <w:pageBreakBefore w:val="0"/>
        <w:widowControl w:val="0"/>
        <w:kinsoku/>
        <w:wordWrap/>
        <w:overflowPunct/>
        <w:topLinePunct w:val="0"/>
        <w:autoSpaceDE/>
        <w:autoSpaceDN/>
        <w:bidi w:val="0"/>
        <w:adjustRightInd/>
        <w:snapToGrid/>
        <w:spacing w:line="395" w:lineRule="exact"/>
        <w:ind w:firstLine="480" w:firstLineChars="200"/>
        <w:jc w:val="left"/>
        <w:textAlignment w:val="auto"/>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3</w:t>
      </w:r>
      <w:r>
        <w:rPr>
          <w:rFonts w:hint="eastAsia" w:ascii="宋体" w:hAnsi="宋体" w:eastAsia="宋体" w:cs="宋体"/>
          <w:color w:val="0D0D0D" w:themeColor="text1" w:themeTint="F2"/>
          <w:sz w:val="24"/>
          <w:szCs w:val="24"/>
          <w:highlight w:val="none"/>
          <w:lang w:val="en-US" w:eastAsia="zh-CN"/>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超过投标截止期送达的投标文件将被拒绝并原封退给投标人。</w:t>
      </w:r>
    </w:p>
    <w:p w14:paraId="058A4388">
      <w:pPr>
        <w:keepNext w:val="0"/>
        <w:keepLines w:val="0"/>
        <w:pageBreakBefore w:val="0"/>
        <w:widowControl w:val="0"/>
        <w:kinsoku/>
        <w:wordWrap/>
        <w:overflowPunct/>
        <w:topLinePunct w:val="0"/>
        <w:autoSpaceDE/>
        <w:autoSpaceDN/>
        <w:bidi w:val="0"/>
        <w:adjustRightInd/>
        <w:snapToGrid/>
        <w:spacing w:line="395" w:lineRule="exact"/>
        <w:ind w:firstLine="480" w:firstLineChars="200"/>
        <w:jc w:val="left"/>
        <w:textAlignment w:val="auto"/>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4</w:t>
      </w:r>
      <w:r>
        <w:rPr>
          <w:rFonts w:hint="eastAsia" w:ascii="宋体" w:hAnsi="宋体" w:eastAsia="宋体" w:cs="宋体"/>
          <w:color w:val="0D0D0D" w:themeColor="text1" w:themeTint="F2"/>
          <w:sz w:val="24"/>
          <w:szCs w:val="24"/>
          <w:highlight w:val="none"/>
          <w:lang w:val="en-US" w:eastAsia="zh-CN"/>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提交投标文件的投标人少于三个的，招标人将依法重新招标。</w:t>
      </w:r>
    </w:p>
    <w:p w14:paraId="390FD2D6">
      <w:pPr>
        <w:keepNext w:val="0"/>
        <w:keepLines w:val="0"/>
        <w:pageBreakBefore w:val="0"/>
        <w:widowControl w:val="0"/>
        <w:kinsoku/>
        <w:wordWrap/>
        <w:overflowPunct/>
        <w:topLinePunct w:val="0"/>
        <w:autoSpaceDE/>
        <w:autoSpaceDN/>
        <w:bidi w:val="0"/>
        <w:adjustRightInd/>
        <w:snapToGrid/>
        <w:spacing w:before="157" w:beforeLines="50" w:line="395" w:lineRule="exact"/>
        <w:ind w:firstLine="482" w:firstLineChars="200"/>
        <w:jc w:val="left"/>
        <w:textAlignment w:val="auto"/>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t>（三）投标文件的修改与撤回</w:t>
      </w:r>
    </w:p>
    <w:p w14:paraId="083D1CE4">
      <w:pPr>
        <w:keepNext w:val="0"/>
        <w:keepLines w:val="0"/>
        <w:pageBreakBefore w:val="0"/>
        <w:widowControl w:val="0"/>
        <w:kinsoku/>
        <w:wordWrap/>
        <w:overflowPunct/>
        <w:topLinePunct w:val="0"/>
        <w:autoSpaceDE/>
        <w:autoSpaceDN/>
        <w:bidi w:val="0"/>
        <w:adjustRightInd/>
        <w:snapToGrid/>
        <w:spacing w:line="395" w:lineRule="exact"/>
        <w:ind w:firstLine="480" w:firstLineChars="200"/>
        <w:jc w:val="left"/>
        <w:textAlignment w:val="auto"/>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1</w:t>
      </w:r>
      <w:r>
        <w:rPr>
          <w:rFonts w:hint="eastAsia" w:ascii="宋体" w:hAnsi="宋体" w:eastAsia="宋体" w:cs="宋体"/>
          <w:color w:val="0D0D0D" w:themeColor="text1" w:themeTint="F2"/>
          <w:sz w:val="24"/>
          <w:szCs w:val="24"/>
          <w:highlight w:val="none"/>
          <w:lang w:val="en-US" w:eastAsia="zh-CN"/>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投标人可以在递交投标文件以后，在规定的投标截止期之前，以书面形式向招标人递交修改或撤回其投标文件的通知。在投标截止期以后，不得更改投标文件。</w:t>
      </w:r>
    </w:p>
    <w:p w14:paraId="334E4CBC">
      <w:pPr>
        <w:keepNext w:val="0"/>
        <w:keepLines w:val="0"/>
        <w:pageBreakBefore w:val="0"/>
        <w:widowControl w:val="0"/>
        <w:kinsoku/>
        <w:wordWrap/>
        <w:overflowPunct/>
        <w:topLinePunct w:val="0"/>
        <w:autoSpaceDE/>
        <w:autoSpaceDN/>
        <w:bidi w:val="0"/>
        <w:adjustRightInd/>
        <w:snapToGrid/>
        <w:spacing w:line="395" w:lineRule="exact"/>
        <w:ind w:firstLine="480" w:firstLineChars="200"/>
        <w:jc w:val="left"/>
        <w:textAlignment w:val="auto"/>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2</w:t>
      </w:r>
      <w:r>
        <w:rPr>
          <w:rFonts w:hint="eastAsia" w:ascii="宋体" w:hAnsi="宋体" w:eastAsia="宋体" w:cs="宋体"/>
          <w:color w:val="0D0D0D" w:themeColor="text1" w:themeTint="F2"/>
          <w:sz w:val="24"/>
          <w:szCs w:val="24"/>
          <w:highlight w:val="none"/>
          <w:lang w:val="en-US" w:eastAsia="zh-CN"/>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投标人的修改或撤回通知，应按本文件第一、二条规定的要求编制、密封、标志和递交（密封袋上应标明“修改”或“撤回”字样）。</w:t>
      </w:r>
    </w:p>
    <w:p w14:paraId="59CAB846">
      <w:pPr>
        <w:keepNext w:val="0"/>
        <w:keepLines w:val="0"/>
        <w:pageBreakBefore w:val="0"/>
        <w:widowControl w:val="0"/>
        <w:kinsoku/>
        <w:wordWrap/>
        <w:overflowPunct/>
        <w:topLinePunct w:val="0"/>
        <w:autoSpaceDE/>
        <w:autoSpaceDN/>
        <w:bidi w:val="0"/>
        <w:adjustRightInd/>
        <w:snapToGrid/>
        <w:spacing w:line="395" w:lineRule="exact"/>
        <w:ind w:firstLine="480" w:firstLineChars="200"/>
        <w:jc w:val="left"/>
        <w:textAlignment w:val="auto"/>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3</w:t>
      </w:r>
      <w:r>
        <w:rPr>
          <w:rFonts w:hint="eastAsia" w:ascii="宋体" w:hAnsi="宋体" w:eastAsia="宋体" w:cs="宋体"/>
          <w:color w:val="0D0D0D" w:themeColor="text1" w:themeTint="F2"/>
          <w:sz w:val="24"/>
          <w:szCs w:val="24"/>
          <w:highlight w:val="none"/>
          <w:lang w:val="en-US" w:eastAsia="zh-CN"/>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投标截止以后，在投标有效期内，投标人不得撤回投标文件，否则其投标保证金将被没收。</w:t>
      </w:r>
    </w:p>
    <w:p w14:paraId="7BF06DD0">
      <w:pPr>
        <w:keepNext w:val="0"/>
        <w:keepLines w:val="0"/>
        <w:pageBreakBefore w:val="0"/>
        <w:widowControl w:val="0"/>
        <w:kinsoku/>
        <w:wordWrap/>
        <w:overflowPunct/>
        <w:topLinePunct w:val="0"/>
        <w:autoSpaceDE/>
        <w:autoSpaceDN/>
        <w:bidi w:val="0"/>
        <w:adjustRightInd/>
        <w:snapToGrid/>
        <w:spacing w:before="625" w:beforeLines="200" w:after="313" w:afterLines="100" w:line="395" w:lineRule="exact"/>
        <w:jc w:val="center"/>
        <w:textAlignment w:val="auto"/>
        <w:rPr>
          <w:rFonts w:hint="eastAsia" w:ascii="宋体" w:hAnsi="宋体" w:eastAsia="宋体" w:cs="宋体"/>
          <w:b/>
          <w:bCs/>
          <w:color w:val="0D0D0D" w:themeColor="text1" w:themeTint="F2"/>
          <w:sz w:val="32"/>
          <w:szCs w:val="32"/>
          <w:highlight w:val="none"/>
          <w14:textFill>
            <w14:solidFill>
              <w14:schemeClr w14:val="tx1">
                <w14:lumMod w14:val="95000"/>
                <w14:lumOff w14:val="5000"/>
              </w14:schemeClr>
            </w14:solidFill>
          </w14:textFill>
        </w:rPr>
      </w:pPr>
      <w:r>
        <w:rPr>
          <w:rFonts w:hint="eastAsia" w:ascii="宋体" w:hAnsi="宋体" w:eastAsia="宋体" w:cs="宋体"/>
          <w:b/>
          <w:bCs/>
          <w:color w:val="0D0D0D" w:themeColor="text1" w:themeTint="F2"/>
          <w:sz w:val="32"/>
          <w:szCs w:val="32"/>
          <w:highlight w:val="none"/>
          <w14:textFill>
            <w14:solidFill>
              <w14:schemeClr w14:val="tx1">
                <w14:lumMod w14:val="95000"/>
                <w14:lumOff w14:val="5000"/>
              </w14:schemeClr>
            </w14:solidFill>
          </w14:textFill>
        </w:rPr>
        <w:t>五、开标、评标、定标</w:t>
      </w:r>
    </w:p>
    <w:p w14:paraId="7CCD9B0D">
      <w:pPr>
        <w:keepNext w:val="0"/>
        <w:keepLines w:val="0"/>
        <w:pageBreakBefore w:val="0"/>
        <w:widowControl w:val="0"/>
        <w:kinsoku/>
        <w:wordWrap/>
        <w:overflowPunct/>
        <w:topLinePunct w:val="0"/>
        <w:autoSpaceDE/>
        <w:autoSpaceDN/>
        <w:bidi w:val="0"/>
        <w:adjustRightInd/>
        <w:snapToGrid/>
        <w:spacing w:line="395" w:lineRule="exact"/>
        <w:ind w:firstLine="482" w:firstLineChars="200"/>
        <w:jc w:val="left"/>
        <w:textAlignment w:val="auto"/>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t>（一）开标</w:t>
      </w:r>
    </w:p>
    <w:p w14:paraId="742EF94A">
      <w:pPr>
        <w:keepNext w:val="0"/>
        <w:keepLines w:val="0"/>
        <w:pageBreakBefore w:val="0"/>
        <w:widowControl w:val="0"/>
        <w:kinsoku/>
        <w:wordWrap/>
        <w:overflowPunct/>
        <w:topLinePunct w:val="0"/>
        <w:autoSpaceDE/>
        <w:autoSpaceDN/>
        <w:bidi w:val="0"/>
        <w:adjustRightInd/>
        <w:snapToGrid/>
        <w:spacing w:line="395" w:lineRule="exact"/>
        <w:ind w:firstLine="480" w:firstLineChars="200"/>
        <w:textAlignment w:val="auto"/>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1</w:t>
      </w:r>
      <w:r>
        <w:rPr>
          <w:rFonts w:hint="eastAsia" w:ascii="宋体" w:hAnsi="宋体" w:eastAsia="宋体" w:cs="宋体"/>
          <w:color w:val="0D0D0D" w:themeColor="text1" w:themeTint="F2"/>
          <w:sz w:val="24"/>
          <w:szCs w:val="24"/>
          <w:highlight w:val="none"/>
          <w:lang w:val="en-US" w:eastAsia="zh-CN"/>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开标由招标人或招标代理机构主持，邀请所有投标人参加。</w:t>
      </w:r>
    </w:p>
    <w:p w14:paraId="11812D84">
      <w:pPr>
        <w:keepNext w:val="0"/>
        <w:keepLines w:val="0"/>
        <w:pageBreakBefore w:val="0"/>
        <w:widowControl w:val="0"/>
        <w:kinsoku/>
        <w:wordWrap/>
        <w:overflowPunct/>
        <w:topLinePunct w:val="0"/>
        <w:autoSpaceDE/>
        <w:autoSpaceDN/>
        <w:bidi w:val="0"/>
        <w:adjustRightInd/>
        <w:snapToGrid/>
        <w:spacing w:line="395" w:lineRule="exact"/>
        <w:ind w:firstLine="480" w:firstLineChars="200"/>
        <w:textAlignment w:val="auto"/>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2</w:t>
      </w:r>
      <w:r>
        <w:rPr>
          <w:rFonts w:hint="eastAsia" w:ascii="宋体" w:hAnsi="宋体" w:eastAsia="宋体" w:cs="宋体"/>
          <w:color w:val="0D0D0D" w:themeColor="text1" w:themeTint="F2"/>
          <w:sz w:val="24"/>
          <w:szCs w:val="24"/>
          <w:highlight w:val="none"/>
          <w:lang w:val="en-US" w:eastAsia="zh-CN"/>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法人代表或授权委托人须在本招标文件规定的时间、地点准时参加开标会，并出示身份证原件后签名以示出席，否则，其投标将被拒绝。</w:t>
      </w:r>
    </w:p>
    <w:p w14:paraId="3C03849B">
      <w:pPr>
        <w:keepNext w:val="0"/>
        <w:keepLines w:val="0"/>
        <w:pageBreakBefore w:val="0"/>
        <w:widowControl w:val="0"/>
        <w:kinsoku/>
        <w:wordWrap/>
        <w:overflowPunct/>
        <w:topLinePunct w:val="0"/>
        <w:autoSpaceDE/>
        <w:autoSpaceDN/>
        <w:bidi w:val="0"/>
        <w:adjustRightInd/>
        <w:snapToGrid/>
        <w:spacing w:line="395" w:lineRule="exact"/>
        <w:ind w:firstLine="480" w:firstLineChars="200"/>
        <w:jc w:val="left"/>
        <w:textAlignment w:val="auto"/>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3</w:t>
      </w:r>
      <w:r>
        <w:rPr>
          <w:rFonts w:hint="eastAsia" w:ascii="宋体" w:hAnsi="宋体" w:eastAsia="宋体" w:cs="宋体"/>
          <w:color w:val="0D0D0D" w:themeColor="text1" w:themeTint="F2"/>
          <w:sz w:val="24"/>
          <w:szCs w:val="24"/>
          <w:highlight w:val="none"/>
          <w:lang w:val="en-US" w:eastAsia="zh-CN"/>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开标时，由投标人推选的代表或招标人委托的监督机构检查投标文件的密封情况，经确认无误后，由工作人员当众拆封，宣读投标人名称、投标价和其他招标人认为有必要的内容。投标文件未按照招标文件的要求予以密封的，将作为无效投标文件，退回投标人。</w:t>
      </w:r>
    </w:p>
    <w:p w14:paraId="1D8B886C">
      <w:pPr>
        <w:keepNext w:val="0"/>
        <w:keepLines w:val="0"/>
        <w:pageBreakBefore w:val="0"/>
        <w:widowControl w:val="0"/>
        <w:kinsoku/>
        <w:wordWrap/>
        <w:overflowPunct/>
        <w:topLinePunct w:val="0"/>
        <w:autoSpaceDE/>
        <w:autoSpaceDN/>
        <w:bidi w:val="0"/>
        <w:adjustRightInd/>
        <w:snapToGrid/>
        <w:spacing w:line="395" w:lineRule="exact"/>
        <w:ind w:firstLine="480" w:firstLineChars="200"/>
        <w:jc w:val="left"/>
        <w:textAlignment w:val="auto"/>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4</w:t>
      </w:r>
      <w:r>
        <w:rPr>
          <w:rFonts w:hint="eastAsia" w:ascii="宋体" w:hAnsi="宋体" w:eastAsia="宋体" w:cs="宋体"/>
          <w:color w:val="0D0D0D" w:themeColor="text1" w:themeTint="F2"/>
          <w:sz w:val="24"/>
          <w:szCs w:val="24"/>
          <w:highlight w:val="none"/>
          <w:lang w:val="en-US" w:eastAsia="zh-CN"/>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招标人在招标文件要求提交投标文件的截止时间前收到的投标文件，开标时都将当众予以拆封、宣读、记录。</w:t>
      </w:r>
    </w:p>
    <w:p w14:paraId="66D60707">
      <w:pPr>
        <w:keepNext w:val="0"/>
        <w:keepLines w:val="0"/>
        <w:pageBreakBefore w:val="0"/>
        <w:widowControl w:val="0"/>
        <w:kinsoku/>
        <w:wordWrap/>
        <w:overflowPunct/>
        <w:topLinePunct w:val="0"/>
        <w:autoSpaceDE/>
        <w:autoSpaceDN/>
        <w:bidi w:val="0"/>
        <w:adjustRightInd/>
        <w:snapToGrid/>
        <w:spacing w:line="395" w:lineRule="exact"/>
        <w:ind w:firstLine="480" w:firstLineChars="200"/>
        <w:jc w:val="left"/>
        <w:textAlignment w:val="auto"/>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5</w:t>
      </w:r>
      <w:r>
        <w:rPr>
          <w:rFonts w:hint="eastAsia" w:ascii="宋体" w:hAnsi="宋体" w:eastAsia="宋体" w:cs="宋体"/>
          <w:color w:val="0D0D0D" w:themeColor="text1" w:themeTint="F2"/>
          <w:sz w:val="24"/>
          <w:szCs w:val="24"/>
          <w:highlight w:val="none"/>
          <w:lang w:val="en-US" w:eastAsia="zh-CN"/>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在开标时，投标文件出现下列情况之一的，将作为无效投标文件，不得进入评标：</w:t>
      </w:r>
    </w:p>
    <w:p w14:paraId="52393696">
      <w:pPr>
        <w:keepNext w:val="0"/>
        <w:keepLines w:val="0"/>
        <w:pageBreakBefore w:val="0"/>
        <w:widowControl w:val="0"/>
        <w:kinsoku/>
        <w:wordWrap/>
        <w:overflowPunct/>
        <w:topLinePunct w:val="0"/>
        <w:autoSpaceDE/>
        <w:autoSpaceDN/>
        <w:bidi w:val="0"/>
        <w:adjustRightInd/>
        <w:snapToGrid/>
        <w:spacing w:line="395" w:lineRule="exact"/>
        <w:ind w:firstLine="480" w:firstLineChars="200"/>
        <w:jc w:val="left"/>
        <w:textAlignment w:val="auto"/>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（1）投标文件未按照招标文件要求予以密封和标志的；</w:t>
      </w:r>
    </w:p>
    <w:p w14:paraId="10A97285">
      <w:pPr>
        <w:keepNext w:val="0"/>
        <w:keepLines w:val="0"/>
        <w:pageBreakBefore w:val="0"/>
        <w:widowControl w:val="0"/>
        <w:kinsoku/>
        <w:wordWrap/>
        <w:overflowPunct/>
        <w:topLinePunct w:val="0"/>
        <w:autoSpaceDE/>
        <w:autoSpaceDN/>
        <w:bidi w:val="0"/>
        <w:adjustRightInd/>
        <w:snapToGrid/>
        <w:spacing w:line="395" w:lineRule="exact"/>
        <w:ind w:firstLine="480" w:firstLineChars="200"/>
        <w:jc w:val="left"/>
        <w:textAlignment w:val="auto"/>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（2）投标文件中的投标书未加盖投标人的企业公章及企业法定代表人或授权委托人签字的，或者企业法定代表人的委托代理人没有合法、有效的委托书（原件）的；</w:t>
      </w:r>
    </w:p>
    <w:p w14:paraId="2C7A2CE3">
      <w:pPr>
        <w:keepNext w:val="0"/>
        <w:keepLines w:val="0"/>
        <w:pageBreakBefore w:val="0"/>
        <w:widowControl w:val="0"/>
        <w:kinsoku/>
        <w:wordWrap/>
        <w:overflowPunct/>
        <w:topLinePunct w:val="0"/>
        <w:autoSpaceDE/>
        <w:autoSpaceDN/>
        <w:bidi w:val="0"/>
        <w:adjustRightInd/>
        <w:snapToGrid/>
        <w:spacing w:line="395" w:lineRule="exact"/>
        <w:ind w:firstLine="480" w:firstLineChars="200"/>
        <w:jc w:val="left"/>
        <w:textAlignment w:val="auto"/>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（3）投标文件的关键内容字迹模糊、无法辨认的；</w:t>
      </w:r>
    </w:p>
    <w:p w14:paraId="7E5BB830">
      <w:pPr>
        <w:keepNext w:val="0"/>
        <w:keepLines w:val="0"/>
        <w:pageBreakBefore w:val="0"/>
        <w:widowControl w:val="0"/>
        <w:kinsoku/>
        <w:wordWrap/>
        <w:overflowPunct/>
        <w:topLinePunct w:val="0"/>
        <w:autoSpaceDE/>
        <w:autoSpaceDN/>
        <w:bidi w:val="0"/>
        <w:adjustRightInd/>
        <w:snapToGrid/>
        <w:spacing w:line="395" w:lineRule="exact"/>
        <w:ind w:firstLine="480" w:firstLineChars="200"/>
        <w:jc w:val="left"/>
        <w:textAlignment w:val="auto"/>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（4）投标人未按照招标文件的要求提供投标保证金的；</w:t>
      </w:r>
    </w:p>
    <w:p w14:paraId="15A98E1C">
      <w:pPr>
        <w:keepNext w:val="0"/>
        <w:keepLines w:val="0"/>
        <w:pageBreakBefore w:val="0"/>
        <w:widowControl w:val="0"/>
        <w:kinsoku/>
        <w:wordWrap/>
        <w:overflowPunct/>
        <w:topLinePunct w:val="0"/>
        <w:autoSpaceDE/>
        <w:autoSpaceDN/>
        <w:bidi w:val="0"/>
        <w:adjustRightInd/>
        <w:snapToGrid/>
        <w:spacing w:line="395" w:lineRule="exact"/>
        <w:ind w:firstLine="480" w:firstLineChars="200"/>
        <w:jc w:val="left"/>
        <w:textAlignment w:val="auto"/>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（5）投标截止时间以后送达的投标文件。</w:t>
      </w:r>
    </w:p>
    <w:p w14:paraId="18A62287">
      <w:pPr>
        <w:keepNext w:val="0"/>
        <w:keepLines w:val="0"/>
        <w:pageBreakBefore w:val="0"/>
        <w:widowControl w:val="0"/>
        <w:kinsoku/>
        <w:wordWrap/>
        <w:overflowPunct/>
        <w:topLinePunct w:val="0"/>
        <w:autoSpaceDE/>
        <w:autoSpaceDN/>
        <w:bidi w:val="0"/>
        <w:adjustRightInd/>
        <w:snapToGrid/>
        <w:spacing w:before="157" w:beforeLines="50" w:line="395" w:lineRule="exact"/>
        <w:ind w:firstLine="482" w:firstLineChars="200"/>
        <w:jc w:val="left"/>
        <w:textAlignment w:val="auto"/>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t>（二）评标</w:t>
      </w:r>
    </w:p>
    <w:p w14:paraId="48151D28">
      <w:pPr>
        <w:keepNext w:val="0"/>
        <w:keepLines w:val="0"/>
        <w:pageBreakBefore w:val="0"/>
        <w:widowControl w:val="0"/>
        <w:kinsoku/>
        <w:wordWrap/>
        <w:overflowPunct/>
        <w:topLinePunct w:val="0"/>
        <w:autoSpaceDE/>
        <w:autoSpaceDN/>
        <w:bidi w:val="0"/>
        <w:adjustRightInd/>
        <w:snapToGrid/>
        <w:spacing w:line="395" w:lineRule="exact"/>
        <w:ind w:firstLine="480" w:firstLineChars="200"/>
        <w:jc w:val="left"/>
        <w:textAlignment w:val="auto"/>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1、评标工作</w:t>
      </w:r>
    </w:p>
    <w:p w14:paraId="5CBDBCED">
      <w:pPr>
        <w:keepNext w:val="0"/>
        <w:keepLines w:val="0"/>
        <w:pageBreakBefore w:val="0"/>
        <w:widowControl w:val="0"/>
        <w:kinsoku/>
        <w:wordWrap/>
        <w:overflowPunct/>
        <w:topLinePunct w:val="0"/>
        <w:autoSpaceDE/>
        <w:autoSpaceDN/>
        <w:bidi w:val="0"/>
        <w:adjustRightInd/>
        <w:snapToGrid/>
        <w:spacing w:line="395" w:lineRule="exact"/>
        <w:ind w:firstLine="480" w:firstLineChars="200"/>
        <w:jc w:val="left"/>
        <w:textAlignment w:val="auto"/>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评标工作由招标人依法组建的评标委员会组织进行。</w:t>
      </w:r>
    </w:p>
    <w:p w14:paraId="375D02F3">
      <w:pPr>
        <w:keepNext w:val="0"/>
        <w:keepLines w:val="0"/>
        <w:pageBreakBefore w:val="0"/>
        <w:widowControl w:val="0"/>
        <w:kinsoku/>
        <w:wordWrap/>
        <w:overflowPunct/>
        <w:topLinePunct w:val="0"/>
        <w:autoSpaceDE/>
        <w:autoSpaceDN/>
        <w:bidi w:val="0"/>
        <w:adjustRightInd/>
        <w:snapToGrid/>
        <w:spacing w:line="395" w:lineRule="exact"/>
        <w:ind w:firstLine="480" w:firstLineChars="200"/>
        <w:jc w:val="left"/>
        <w:textAlignment w:val="auto"/>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2、评标标准与方法：</w:t>
      </w:r>
      <w:r>
        <w:rPr>
          <w:rFonts w:hint="eastAsia" w:ascii="宋体" w:hAnsi="宋体" w:eastAsia="宋体" w:cs="宋体"/>
          <w:b/>
          <w:sz w:val="24"/>
          <w:szCs w:val="24"/>
          <w:highlight w:val="none"/>
        </w:rPr>
        <w:t>最低</w:t>
      </w:r>
      <w:r>
        <w:rPr>
          <w:rFonts w:hint="eastAsia" w:ascii="宋体" w:hAnsi="宋体" w:cs="宋体"/>
          <w:b/>
          <w:sz w:val="24"/>
          <w:szCs w:val="24"/>
          <w:highlight w:val="none"/>
          <w:lang w:eastAsia="zh-CN"/>
        </w:rPr>
        <w:t>评</w:t>
      </w:r>
      <w:r>
        <w:rPr>
          <w:rFonts w:hint="eastAsia" w:ascii="宋体" w:hAnsi="宋体" w:eastAsia="宋体" w:cs="宋体"/>
          <w:b/>
          <w:sz w:val="24"/>
          <w:szCs w:val="24"/>
          <w:highlight w:val="none"/>
        </w:rPr>
        <w:t>标价法</w:t>
      </w: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w:t>
      </w:r>
    </w:p>
    <w:p w14:paraId="7C8E52C4">
      <w:pPr>
        <w:keepNext w:val="0"/>
        <w:keepLines w:val="0"/>
        <w:pageBreakBefore w:val="0"/>
        <w:widowControl w:val="0"/>
        <w:kinsoku/>
        <w:wordWrap/>
        <w:overflowPunct/>
        <w:topLinePunct w:val="0"/>
        <w:autoSpaceDE/>
        <w:autoSpaceDN/>
        <w:bidi w:val="0"/>
        <w:adjustRightInd/>
        <w:snapToGrid/>
        <w:spacing w:before="157" w:beforeLines="50" w:line="395" w:lineRule="exact"/>
        <w:ind w:firstLine="482" w:firstLineChars="200"/>
        <w:jc w:val="left"/>
        <w:textAlignment w:val="auto"/>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t>（三）投标文件的澄清</w:t>
      </w:r>
    </w:p>
    <w:p w14:paraId="5A6E5355">
      <w:pPr>
        <w:keepNext w:val="0"/>
        <w:keepLines w:val="0"/>
        <w:pageBreakBefore w:val="0"/>
        <w:widowControl w:val="0"/>
        <w:kinsoku/>
        <w:wordWrap/>
        <w:overflowPunct/>
        <w:topLinePunct w:val="0"/>
        <w:autoSpaceDE/>
        <w:autoSpaceDN/>
        <w:bidi w:val="0"/>
        <w:adjustRightInd/>
        <w:snapToGrid/>
        <w:spacing w:line="395" w:lineRule="exact"/>
        <w:ind w:firstLine="480" w:firstLineChars="200"/>
        <w:jc w:val="left"/>
        <w:textAlignment w:val="auto"/>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1</w:t>
      </w:r>
      <w:r>
        <w:rPr>
          <w:rFonts w:hint="eastAsia" w:ascii="宋体" w:hAnsi="宋体" w:eastAsia="宋体" w:cs="宋体"/>
          <w:color w:val="0D0D0D" w:themeColor="text1" w:themeTint="F2"/>
          <w:sz w:val="24"/>
          <w:szCs w:val="24"/>
          <w:highlight w:val="none"/>
          <w:lang w:val="en-US" w:eastAsia="zh-CN"/>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为了有助于投标文件的审查、评价和比较，评标委员会可以书面方式要求投标人对投标文件中含义的不明确、以及同类问题表述不一致或者有明显文字和计算错误的内容作必要的澄清、说明或者补正。投标人的澄清、说明或者补正应以书面方式进行，并不得超出投标文件的范围或者改变投标文件的实质性内容。</w:t>
      </w:r>
    </w:p>
    <w:p w14:paraId="11D7E40F">
      <w:pPr>
        <w:keepNext w:val="0"/>
        <w:keepLines w:val="0"/>
        <w:pageBreakBefore w:val="0"/>
        <w:widowControl w:val="0"/>
        <w:kinsoku/>
        <w:wordWrap/>
        <w:overflowPunct/>
        <w:topLinePunct w:val="0"/>
        <w:autoSpaceDE/>
        <w:autoSpaceDN/>
        <w:bidi w:val="0"/>
        <w:adjustRightInd/>
        <w:snapToGrid/>
        <w:spacing w:line="395" w:lineRule="exact"/>
        <w:ind w:firstLine="480" w:firstLineChars="200"/>
        <w:jc w:val="left"/>
        <w:textAlignment w:val="auto"/>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2</w:t>
      </w:r>
      <w:r>
        <w:rPr>
          <w:rFonts w:hint="eastAsia" w:ascii="宋体" w:hAnsi="宋体" w:eastAsia="宋体" w:cs="宋体"/>
          <w:color w:val="0D0D0D" w:themeColor="text1" w:themeTint="F2"/>
          <w:sz w:val="24"/>
          <w:szCs w:val="24"/>
          <w:highlight w:val="none"/>
          <w:lang w:val="en-US" w:eastAsia="zh-CN"/>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投标文件中的大写金额和小写金额不一致时，以大写金额为准；总价金额与单价金额不一致时，以单价金额为准，但单价金额小数点有明显错误的除外。</w:t>
      </w:r>
    </w:p>
    <w:p w14:paraId="7CF6C545">
      <w:pPr>
        <w:keepNext w:val="0"/>
        <w:keepLines w:val="0"/>
        <w:pageBreakBefore w:val="0"/>
        <w:widowControl w:val="0"/>
        <w:kinsoku/>
        <w:wordWrap/>
        <w:overflowPunct/>
        <w:topLinePunct w:val="0"/>
        <w:autoSpaceDE/>
        <w:autoSpaceDN/>
        <w:bidi w:val="0"/>
        <w:adjustRightInd/>
        <w:snapToGrid/>
        <w:spacing w:before="157" w:beforeLines="50" w:line="395" w:lineRule="exact"/>
        <w:ind w:firstLine="480" w:firstLineChars="200"/>
        <w:jc w:val="left"/>
        <w:textAlignment w:val="auto"/>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w:t>
      </w:r>
      <w:r>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t>四）在评标过程中，评标委员会若发现投标人以他人名义投标、串通投标、以行贿手段谋取中标或者以其他弄虚作假方式投标的，该投标人的投标将作无效标处理。</w:t>
      </w:r>
    </w:p>
    <w:p w14:paraId="4ADFA8E0">
      <w:pPr>
        <w:keepNext w:val="0"/>
        <w:keepLines w:val="0"/>
        <w:pageBreakBefore w:val="0"/>
        <w:widowControl w:val="0"/>
        <w:kinsoku/>
        <w:wordWrap/>
        <w:overflowPunct/>
        <w:topLinePunct w:val="0"/>
        <w:autoSpaceDE/>
        <w:autoSpaceDN/>
        <w:bidi w:val="0"/>
        <w:adjustRightInd/>
        <w:snapToGrid/>
        <w:spacing w:before="157" w:beforeLines="50" w:line="395" w:lineRule="exact"/>
        <w:ind w:firstLine="482" w:firstLineChars="200"/>
        <w:jc w:val="left"/>
        <w:textAlignment w:val="auto"/>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t>（五）投标人资格条件不符合国家有关规定和招标文件要求的，或者拒不按照要求对投标文件进行澄清、说明或补正的，评标委员会可以否决其投标。</w:t>
      </w:r>
    </w:p>
    <w:p w14:paraId="469736A5">
      <w:pPr>
        <w:keepNext w:val="0"/>
        <w:keepLines w:val="0"/>
        <w:pageBreakBefore w:val="0"/>
        <w:widowControl w:val="0"/>
        <w:kinsoku/>
        <w:wordWrap/>
        <w:overflowPunct/>
        <w:topLinePunct w:val="0"/>
        <w:autoSpaceDE/>
        <w:autoSpaceDN/>
        <w:bidi w:val="0"/>
        <w:adjustRightInd/>
        <w:snapToGrid/>
        <w:spacing w:before="157" w:beforeLines="50" w:line="395" w:lineRule="exact"/>
        <w:ind w:firstLine="482" w:firstLineChars="200"/>
        <w:jc w:val="left"/>
        <w:textAlignment w:val="auto"/>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t>（六）评标委员会将审查每一投标文件是否对招标文件提出的所有实质性要求和条件做出响应。未能在实质上响应的投标，将作无效标处理。</w:t>
      </w:r>
    </w:p>
    <w:p w14:paraId="69C12FA0">
      <w:pPr>
        <w:keepNext w:val="0"/>
        <w:keepLines w:val="0"/>
        <w:pageBreakBefore w:val="0"/>
        <w:widowControl w:val="0"/>
        <w:kinsoku/>
        <w:wordWrap/>
        <w:overflowPunct/>
        <w:topLinePunct w:val="0"/>
        <w:autoSpaceDE/>
        <w:autoSpaceDN/>
        <w:bidi w:val="0"/>
        <w:adjustRightInd/>
        <w:snapToGrid/>
        <w:spacing w:before="157" w:beforeLines="50" w:line="395" w:lineRule="exact"/>
        <w:ind w:firstLine="482" w:firstLineChars="200"/>
        <w:jc w:val="left"/>
        <w:textAlignment w:val="auto"/>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t>（七）投标文件有下列情形之一的，属于重大偏差，视为未能对招标文件做出实质性响应，并按前条规定作无效标处理：</w:t>
      </w:r>
    </w:p>
    <w:p w14:paraId="579CC3F8">
      <w:pPr>
        <w:keepNext w:val="0"/>
        <w:keepLines w:val="0"/>
        <w:pageBreakBefore w:val="0"/>
        <w:widowControl w:val="0"/>
        <w:kinsoku/>
        <w:wordWrap/>
        <w:overflowPunct/>
        <w:topLinePunct w:val="0"/>
        <w:autoSpaceDE/>
        <w:autoSpaceDN/>
        <w:bidi w:val="0"/>
        <w:adjustRightInd/>
        <w:snapToGrid/>
        <w:spacing w:line="395" w:lineRule="exact"/>
        <w:ind w:firstLine="480" w:firstLineChars="200"/>
        <w:jc w:val="left"/>
        <w:textAlignment w:val="auto"/>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1</w:t>
      </w:r>
      <w:r>
        <w:rPr>
          <w:rFonts w:hint="eastAsia" w:ascii="宋体" w:hAnsi="宋体" w:eastAsia="宋体" w:cs="宋体"/>
          <w:color w:val="0D0D0D" w:themeColor="text1" w:themeTint="F2"/>
          <w:sz w:val="24"/>
          <w:szCs w:val="24"/>
          <w:highlight w:val="none"/>
          <w:lang w:val="en-US" w:eastAsia="zh-CN"/>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投标文件没有投标单位法定代表人或委托代理人签字或加盖印鉴；</w:t>
      </w:r>
    </w:p>
    <w:p w14:paraId="0CE9AC47">
      <w:pPr>
        <w:keepNext w:val="0"/>
        <w:keepLines w:val="0"/>
        <w:pageBreakBefore w:val="0"/>
        <w:widowControl w:val="0"/>
        <w:kinsoku/>
        <w:wordWrap/>
        <w:overflowPunct/>
        <w:topLinePunct w:val="0"/>
        <w:autoSpaceDE/>
        <w:autoSpaceDN/>
        <w:bidi w:val="0"/>
        <w:adjustRightInd/>
        <w:snapToGrid/>
        <w:spacing w:line="395" w:lineRule="exact"/>
        <w:ind w:firstLine="480" w:firstLineChars="200"/>
        <w:jc w:val="left"/>
        <w:textAlignment w:val="auto"/>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2</w:t>
      </w:r>
      <w:r>
        <w:rPr>
          <w:rFonts w:hint="eastAsia" w:ascii="宋体" w:hAnsi="宋体" w:eastAsia="宋体" w:cs="宋体"/>
          <w:color w:val="0D0D0D" w:themeColor="text1" w:themeTint="F2"/>
          <w:sz w:val="24"/>
          <w:szCs w:val="24"/>
          <w:highlight w:val="none"/>
          <w:lang w:val="en-US" w:eastAsia="zh-CN"/>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投标文件载明的招标项目完成期限超过招标文件规定的期限；</w:t>
      </w:r>
    </w:p>
    <w:p w14:paraId="43A5ECB7">
      <w:pPr>
        <w:keepNext w:val="0"/>
        <w:keepLines w:val="0"/>
        <w:pageBreakBefore w:val="0"/>
        <w:widowControl w:val="0"/>
        <w:kinsoku/>
        <w:wordWrap/>
        <w:overflowPunct/>
        <w:topLinePunct w:val="0"/>
        <w:autoSpaceDE/>
        <w:autoSpaceDN/>
        <w:bidi w:val="0"/>
        <w:adjustRightInd/>
        <w:snapToGrid/>
        <w:spacing w:line="395" w:lineRule="exact"/>
        <w:ind w:firstLine="480" w:firstLineChars="200"/>
        <w:jc w:val="left"/>
        <w:textAlignment w:val="auto"/>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3</w:t>
      </w:r>
      <w:r>
        <w:rPr>
          <w:rFonts w:hint="eastAsia" w:ascii="宋体" w:hAnsi="宋体" w:eastAsia="宋体" w:cs="宋体"/>
          <w:color w:val="0D0D0D" w:themeColor="text1" w:themeTint="F2"/>
          <w:sz w:val="24"/>
          <w:szCs w:val="24"/>
          <w:highlight w:val="none"/>
          <w:lang w:val="en-US" w:eastAsia="zh-CN"/>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明显不符合技术规格、技术标准的要求；</w:t>
      </w:r>
    </w:p>
    <w:p w14:paraId="6FF23BC0">
      <w:pPr>
        <w:keepNext w:val="0"/>
        <w:keepLines w:val="0"/>
        <w:pageBreakBefore w:val="0"/>
        <w:widowControl w:val="0"/>
        <w:kinsoku/>
        <w:wordWrap/>
        <w:overflowPunct/>
        <w:topLinePunct w:val="0"/>
        <w:autoSpaceDE/>
        <w:autoSpaceDN/>
        <w:bidi w:val="0"/>
        <w:adjustRightInd/>
        <w:snapToGrid/>
        <w:spacing w:line="395" w:lineRule="exact"/>
        <w:ind w:firstLine="480" w:firstLineChars="200"/>
        <w:jc w:val="left"/>
        <w:textAlignment w:val="auto"/>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4</w:t>
      </w:r>
      <w:r>
        <w:rPr>
          <w:rFonts w:hint="eastAsia" w:ascii="宋体" w:hAnsi="宋体" w:eastAsia="宋体" w:cs="宋体"/>
          <w:color w:val="0D0D0D" w:themeColor="text1" w:themeTint="F2"/>
          <w:sz w:val="24"/>
          <w:szCs w:val="24"/>
          <w:highlight w:val="none"/>
          <w:lang w:val="en-US" w:eastAsia="zh-CN"/>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投标文件载明的检验标准和方法等不符合招标文件的要求；</w:t>
      </w:r>
    </w:p>
    <w:p w14:paraId="6E1529CA">
      <w:pPr>
        <w:keepNext w:val="0"/>
        <w:keepLines w:val="0"/>
        <w:pageBreakBefore w:val="0"/>
        <w:widowControl w:val="0"/>
        <w:kinsoku/>
        <w:wordWrap/>
        <w:overflowPunct/>
        <w:topLinePunct w:val="0"/>
        <w:autoSpaceDE/>
        <w:autoSpaceDN/>
        <w:bidi w:val="0"/>
        <w:adjustRightInd/>
        <w:snapToGrid/>
        <w:spacing w:line="395" w:lineRule="exact"/>
        <w:ind w:firstLine="480" w:firstLineChars="200"/>
        <w:jc w:val="left"/>
        <w:textAlignment w:val="auto"/>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5</w:t>
      </w:r>
      <w:r>
        <w:rPr>
          <w:rFonts w:hint="eastAsia" w:ascii="宋体" w:hAnsi="宋体" w:eastAsia="宋体" w:cs="宋体"/>
          <w:color w:val="0D0D0D" w:themeColor="text1" w:themeTint="F2"/>
          <w:sz w:val="24"/>
          <w:szCs w:val="24"/>
          <w:highlight w:val="none"/>
          <w:lang w:val="en-US" w:eastAsia="zh-CN"/>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投标文件附有招标人不能接受的条件；</w:t>
      </w:r>
    </w:p>
    <w:p w14:paraId="02CF2FDD">
      <w:pPr>
        <w:keepNext w:val="0"/>
        <w:keepLines w:val="0"/>
        <w:pageBreakBefore w:val="0"/>
        <w:widowControl w:val="0"/>
        <w:kinsoku/>
        <w:wordWrap/>
        <w:overflowPunct/>
        <w:topLinePunct w:val="0"/>
        <w:autoSpaceDE/>
        <w:autoSpaceDN/>
        <w:bidi w:val="0"/>
        <w:adjustRightInd/>
        <w:snapToGrid/>
        <w:spacing w:line="395" w:lineRule="exact"/>
        <w:ind w:firstLine="480" w:firstLineChars="200"/>
        <w:jc w:val="left"/>
        <w:textAlignment w:val="auto"/>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6</w:t>
      </w:r>
      <w:r>
        <w:rPr>
          <w:rFonts w:hint="eastAsia" w:ascii="宋体" w:hAnsi="宋体" w:eastAsia="宋体" w:cs="宋体"/>
          <w:color w:val="0D0D0D" w:themeColor="text1" w:themeTint="F2"/>
          <w:sz w:val="24"/>
          <w:szCs w:val="24"/>
          <w:highlight w:val="none"/>
          <w:lang w:val="en-US" w:eastAsia="zh-CN"/>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不符合招标文件中规定的其他实质性要求；</w:t>
      </w:r>
    </w:p>
    <w:p w14:paraId="7DCFFA19">
      <w:pPr>
        <w:keepNext w:val="0"/>
        <w:keepLines w:val="0"/>
        <w:pageBreakBefore w:val="0"/>
        <w:widowControl w:val="0"/>
        <w:kinsoku/>
        <w:wordWrap/>
        <w:overflowPunct/>
        <w:topLinePunct w:val="0"/>
        <w:autoSpaceDE/>
        <w:autoSpaceDN/>
        <w:bidi w:val="0"/>
        <w:adjustRightInd/>
        <w:snapToGrid/>
        <w:spacing w:line="395" w:lineRule="exact"/>
        <w:ind w:firstLine="480" w:firstLineChars="200"/>
        <w:jc w:val="left"/>
        <w:textAlignment w:val="auto"/>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7</w:t>
      </w:r>
      <w:r>
        <w:rPr>
          <w:rFonts w:hint="eastAsia" w:ascii="宋体" w:hAnsi="宋体" w:eastAsia="宋体" w:cs="宋体"/>
          <w:color w:val="0D0D0D" w:themeColor="text1" w:themeTint="F2"/>
          <w:sz w:val="24"/>
          <w:szCs w:val="24"/>
          <w:highlight w:val="none"/>
          <w:lang w:val="en-US" w:eastAsia="zh-CN"/>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投标报价超过招标控制价的。</w:t>
      </w:r>
    </w:p>
    <w:p w14:paraId="7E334318">
      <w:pPr>
        <w:keepNext w:val="0"/>
        <w:keepLines w:val="0"/>
        <w:pageBreakBefore w:val="0"/>
        <w:widowControl w:val="0"/>
        <w:kinsoku/>
        <w:wordWrap/>
        <w:overflowPunct/>
        <w:topLinePunct w:val="0"/>
        <w:autoSpaceDE/>
        <w:autoSpaceDN/>
        <w:bidi w:val="0"/>
        <w:adjustRightInd/>
        <w:snapToGrid/>
        <w:spacing w:line="395" w:lineRule="exact"/>
        <w:ind w:firstLine="480" w:firstLineChars="200"/>
        <w:jc w:val="left"/>
        <w:textAlignment w:val="auto"/>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评标委员会根据规定否决不合格投标或界定为废标后，因有效投标不足三个使得投标明显缺乏竞争的，评标委员会可以否决全部投标。所有投标被否决的，招标人依法重新招标。</w:t>
      </w:r>
    </w:p>
    <w:p w14:paraId="61126ADD">
      <w:pPr>
        <w:keepNext w:val="0"/>
        <w:keepLines w:val="0"/>
        <w:pageBreakBefore w:val="0"/>
        <w:widowControl w:val="0"/>
        <w:kinsoku/>
        <w:wordWrap/>
        <w:overflowPunct/>
        <w:topLinePunct w:val="0"/>
        <w:autoSpaceDE/>
        <w:autoSpaceDN/>
        <w:bidi w:val="0"/>
        <w:adjustRightInd/>
        <w:snapToGrid/>
        <w:spacing w:before="157" w:beforeLines="50" w:line="395" w:lineRule="exact"/>
        <w:ind w:firstLine="482" w:firstLineChars="200"/>
        <w:jc w:val="left"/>
        <w:textAlignment w:val="auto"/>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t>（八）评标和定标将在投标有效期结束日前完成。不能在投标有效期结束日前完成评标和定标的，招标人将通知所有投标人延长投标有效期。拒绝延长投标有效期的投标人有权收回投标保证金。同意延长投标有效期的投标人应当相应延长其投标担保的有效期，但不得修改投标文件的实质性内容。因延长投标有效期造成投标人损失的，招标人将给予补偿，但因不可抗力需延长投标有效期的除外。</w:t>
      </w:r>
    </w:p>
    <w:p w14:paraId="571868A7">
      <w:pPr>
        <w:keepNext w:val="0"/>
        <w:keepLines w:val="0"/>
        <w:pageBreakBefore w:val="0"/>
        <w:widowControl w:val="0"/>
        <w:kinsoku/>
        <w:wordWrap/>
        <w:overflowPunct/>
        <w:topLinePunct w:val="0"/>
        <w:autoSpaceDE/>
        <w:autoSpaceDN/>
        <w:bidi w:val="0"/>
        <w:adjustRightInd/>
        <w:snapToGrid/>
        <w:spacing w:before="625" w:beforeLines="200" w:after="313" w:afterLines="100" w:line="400" w:lineRule="exact"/>
        <w:ind w:left="-540" w:leftChars="-257" w:firstLine="723" w:firstLineChars="225"/>
        <w:jc w:val="center"/>
        <w:textAlignment w:val="auto"/>
        <w:rPr>
          <w:rFonts w:hint="eastAsia" w:ascii="宋体" w:hAnsi="宋体" w:eastAsia="宋体" w:cs="宋体"/>
          <w:b/>
          <w:bCs/>
          <w:color w:val="0D0D0D" w:themeColor="text1" w:themeTint="F2"/>
          <w:sz w:val="32"/>
          <w:szCs w:val="32"/>
          <w:highlight w:val="none"/>
          <w14:textFill>
            <w14:solidFill>
              <w14:schemeClr w14:val="tx1">
                <w14:lumMod w14:val="95000"/>
                <w14:lumOff w14:val="5000"/>
              </w14:schemeClr>
            </w14:solidFill>
          </w14:textFill>
        </w:rPr>
      </w:pPr>
      <w:r>
        <w:rPr>
          <w:rFonts w:hint="eastAsia" w:ascii="宋体" w:hAnsi="宋体" w:eastAsia="宋体" w:cs="宋体"/>
          <w:b/>
          <w:bCs/>
          <w:color w:val="0D0D0D" w:themeColor="text1" w:themeTint="F2"/>
          <w:sz w:val="32"/>
          <w:szCs w:val="32"/>
          <w:highlight w:val="none"/>
          <w14:textFill>
            <w14:solidFill>
              <w14:schemeClr w14:val="tx1">
                <w14:lumMod w14:val="95000"/>
                <w14:lumOff w14:val="5000"/>
              </w14:schemeClr>
            </w14:solidFill>
          </w14:textFill>
        </w:rPr>
        <w:t>六、授予合同</w:t>
      </w:r>
    </w:p>
    <w:p w14:paraId="664D3239">
      <w:pPr>
        <w:keepNext w:val="0"/>
        <w:keepLines w:val="0"/>
        <w:pageBreakBefore w:val="0"/>
        <w:kinsoku/>
        <w:wordWrap/>
        <w:overflowPunct/>
        <w:topLinePunct w:val="0"/>
        <w:autoSpaceDE/>
        <w:autoSpaceDN/>
        <w:bidi w:val="0"/>
        <w:spacing w:line="400" w:lineRule="exact"/>
        <w:ind w:firstLine="482" w:firstLineChars="200"/>
        <w:textAlignment w:val="auto"/>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t>（一）中标</w:t>
      </w:r>
    </w:p>
    <w:p w14:paraId="3C7DC8D3">
      <w:pPr>
        <w:keepNext w:val="0"/>
        <w:keepLines w:val="0"/>
        <w:pageBreakBefore w:val="0"/>
        <w:kinsoku/>
        <w:wordWrap/>
        <w:overflowPunct/>
        <w:topLinePunct w:val="0"/>
        <w:autoSpaceDE/>
        <w:autoSpaceDN/>
        <w:bidi w:val="0"/>
        <w:spacing w:line="400" w:lineRule="exact"/>
        <w:ind w:left="-61" w:leftChars="-29" w:firstLine="540" w:firstLineChars="225"/>
        <w:textAlignment w:val="auto"/>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1</w:t>
      </w:r>
      <w:r>
        <w:rPr>
          <w:rFonts w:hint="eastAsia" w:ascii="宋体" w:hAnsi="宋体" w:eastAsia="宋体" w:cs="宋体"/>
          <w:color w:val="0D0D0D" w:themeColor="text1" w:themeTint="F2"/>
          <w:sz w:val="24"/>
          <w:szCs w:val="24"/>
          <w:highlight w:val="none"/>
          <w:lang w:val="en-US" w:eastAsia="zh-CN"/>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确定中标单位后，招标人向中标单位发出中标通知书，并同时将中标结果通知所有未中标的投标人，中标通知书将成为合同的组成部分。</w:t>
      </w:r>
    </w:p>
    <w:p w14:paraId="2A24CD5A">
      <w:pPr>
        <w:keepNext w:val="0"/>
        <w:keepLines w:val="0"/>
        <w:pageBreakBefore w:val="0"/>
        <w:kinsoku/>
        <w:wordWrap/>
        <w:overflowPunct/>
        <w:topLinePunct w:val="0"/>
        <w:autoSpaceDE/>
        <w:autoSpaceDN/>
        <w:bidi w:val="0"/>
        <w:spacing w:line="400" w:lineRule="exact"/>
        <w:ind w:left="-61" w:leftChars="-29" w:right="-334" w:rightChars="-159" w:firstLine="480" w:firstLineChars="200"/>
        <w:textAlignment w:val="auto"/>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2</w:t>
      </w:r>
      <w:r>
        <w:rPr>
          <w:rFonts w:hint="eastAsia" w:ascii="宋体" w:hAnsi="宋体" w:eastAsia="宋体" w:cs="宋体"/>
          <w:color w:val="0D0D0D" w:themeColor="text1" w:themeTint="F2"/>
          <w:sz w:val="24"/>
          <w:szCs w:val="24"/>
          <w:highlight w:val="none"/>
          <w:lang w:val="en-US" w:eastAsia="zh-CN"/>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中标单位收到中标通知书后，应在中标通知书规定的时间内与招标人签订合同。中标人不按前规定与招标人订立合同的，投标保证金不予退还并取消中标资格，给招标人造成的损失超过投标保证金数额的，应当对超过部分予以赔偿。</w:t>
      </w:r>
    </w:p>
    <w:p w14:paraId="1DC529DE">
      <w:pPr>
        <w:keepNext w:val="0"/>
        <w:keepLines w:val="0"/>
        <w:pageBreakBefore w:val="0"/>
        <w:widowControl w:val="0"/>
        <w:kinsoku/>
        <w:wordWrap/>
        <w:overflowPunct/>
        <w:topLinePunct w:val="0"/>
        <w:autoSpaceDE/>
        <w:autoSpaceDN/>
        <w:bidi w:val="0"/>
        <w:adjustRightInd/>
        <w:snapToGrid w:val="0"/>
        <w:spacing w:before="157" w:beforeLines="50" w:line="400" w:lineRule="exact"/>
        <w:ind w:firstLine="482" w:firstLineChars="200"/>
        <w:contextualSpacing/>
        <w:textAlignment w:val="auto"/>
        <w:outlineLvl w:val="1"/>
        <w:rPr>
          <w:rFonts w:hint="eastAsia" w:ascii="宋体" w:hAnsi="宋体" w:eastAsia="宋体" w:cs="宋体"/>
          <w:b/>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b/>
          <w:color w:val="0D0D0D" w:themeColor="text1" w:themeTint="F2"/>
          <w:sz w:val="24"/>
          <w:szCs w:val="24"/>
          <w:highlight w:val="none"/>
          <w14:textFill>
            <w14:solidFill>
              <w14:schemeClr w14:val="tx1">
                <w14:lumMod w14:val="95000"/>
                <w14:lumOff w14:val="5000"/>
              </w14:schemeClr>
            </w14:solidFill>
          </w14:textFill>
        </w:rPr>
        <w:t>（二）履约保证金</w:t>
      </w:r>
    </w:p>
    <w:p w14:paraId="42A2F7A9">
      <w:pPr>
        <w:keepNext w:val="0"/>
        <w:keepLines w:val="0"/>
        <w:pageBreakBefore w:val="0"/>
        <w:kinsoku/>
        <w:wordWrap/>
        <w:overflowPunct/>
        <w:topLinePunct w:val="0"/>
        <w:autoSpaceDE/>
        <w:autoSpaceDN/>
        <w:bidi w:val="0"/>
        <w:snapToGrid w:val="0"/>
        <w:spacing w:line="400" w:lineRule="exact"/>
        <w:ind w:firstLine="480" w:firstLineChars="200"/>
        <w:textAlignment w:val="auto"/>
        <w:rPr>
          <w:rFonts w:hint="eastAsia" w:ascii="宋体" w:hAnsi="宋体" w:eastAsia="宋体" w:cs="宋体"/>
          <w:bCs/>
          <w:color w:val="0D0D0D" w:themeColor="text1" w:themeTint="F2"/>
          <w:sz w:val="24"/>
          <w:szCs w:val="24"/>
          <w:highlight w:val="none"/>
          <w:lang w:val="zh-CN"/>
          <w14:textFill>
            <w14:solidFill>
              <w14:schemeClr w14:val="tx1">
                <w14:lumMod w14:val="95000"/>
                <w14:lumOff w14:val="5000"/>
              </w14:schemeClr>
            </w14:solidFill>
          </w14:textFill>
        </w:rPr>
      </w:pPr>
      <w:r>
        <w:rPr>
          <w:rFonts w:hint="eastAsia" w:ascii="宋体" w:hAnsi="宋体" w:eastAsia="宋体" w:cs="宋体"/>
          <w:bCs/>
          <w:color w:val="0D0D0D" w:themeColor="text1" w:themeTint="F2"/>
          <w:sz w:val="24"/>
          <w:szCs w:val="24"/>
          <w:highlight w:val="none"/>
          <w:lang w:val="zh-CN"/>
          <w14:textFill>
            <w14:solidFill>
              <w14:schemeClr w14:val="tx1">
                <w14:lumMod w14:val="95000"/>
                <w14:lumOff w14:val="5000"/>
              </w14:schemeClr>
            </w14:solidFill>
          </w14:textFill>
        </w:rPr>
        <w:t>1、本项目中标后的履约</w:t>
      </w:r>
      <w:r>
        <w:rPr>
          <w:rFonts w:hint="eastAsia" w:ascii="宋体" w:hAnsi="宋体" w:eastAsia="宋体" w:cs="宋体"/>
          <w:bCs/>
          <w:color w:val="0D0D0D" w:themeColor="text1" w:themeTint="F2"/>
          <w:sz w:val="24"/>
          <w:szCs w:val="24"/>
          <w:highlight w:val="none"/>
          <w14:textFill>
            <w14:solidFill>
              <w14:schemeClr w14:val="tx1">
                <w14:lumMod w14:val="95000"/>
                <w14:lumOff w14:val="5000"/>
              </w14:schemeClr>
            </w14:solidFill>
          </w14:textFill>
        </w:rPr>
        <w:t>保证金</w:t>
      </w:r>
      <w:r>
        <w:rPr>
          <w:rFonts w:hint="eastAsia" w:ascii="宋体" w:hAnsi="宋体" w:eastAsia="宋体" w:cs="宋体"/>
          <w:bCs/>
          <w:color w:val="0D0D0D" w:themeColor="text1" w:themeTint="F2"/>
          <w:sz w:val="24"/>
          <w:szCs w:val="24"/>
          <w:highlight w:val="none"/>
          <w:lang w:val="zh-CN"/>
          <w14:textFill>
            <w14:solidFill>
              <w14:schemeClr w14:val="tx1">
                <w14:lumMod w14:val="95000"/>
                <w14:lumOff w14:val="5000"/>
              </w14:schemeClr>
            </w14:solidFill>
          </w14:textFill>
        </w:rPr>
        <w:t>为</w:t>
      </w:r>
      <w:r>
        <w:rPr>
          <w:rFonts w:hint="eastAsia" w:ascii="宋体" w:hAnsi="宋体" w:eastAsia="宋体" w:cs="宋体"/>
          <w:bCs/>
          <w:color w:val="0D0D0D" w:themeColor="text1" w:themeTint="F2"/>
          <w:sz w:val="24"/>
          <w:szCs w:val="24"/>
          <w:highlight w:val="none"/>
          <w:u w:val="single"/>
          <w14:textFill>
            <w14:solidFill>
              <w14:schemeClr w14:val="tx1">
                <w14:lumMod w14:val="95000"/>
                <w14:lumOff w14:val="5000"/>
              </w14:schemeClr>
            </w14:solidFill>
          </w14:textFill>
        </w:rPr>
        <w:t>合同价款的10%</w:t>
      </w:r>
      <w:r>
        <w:rPr>
          <w:rFonts w:hint="eastAsia" w:ascii="宋体" w:hAnsi="宋体" w:eastAsia="宋体" w:cs="宋体"/>
          <w:bCs/>
          <w:color w:val="0D0D0D" w:themeColor="text1" w:themeTint="F2"/>
          <w:sz w:val="24"/>
          <w:szCs w:val="24"/>
          <w:highlight w:val="none"/>
          <w:lang w:val="zh-CN"/>
          <w14:textFill>
            <w14:solidFill>
              <w14:schemeClr w14:val="tx1">
                <w14:lumMod w14:val="95000"/>
                <w14:lumOff w14:val="5000"/>
              </w14:schemeClr>
            </w14:solidFill>
          </w14:textFill>
        </w:rPr>
        <w:t>。</w:t>
      </w:r>
    </w:p>
    <w:p w14:paraId="1F2B3BD3">
      <w:pPr>
        <w:keepNext w:val="0"/>
        <w:keepLines w:val="0"/>
        <w:pageBreakBefore w:val="0"/>
        <w:kinsoku/>
        <w:wordWrap/>
        <w:overflowPunct/>
        <w:topLinePunct w:val="0"/>
        <w:autoSpaceDE/>
        <w:autoSpaceDN/>
        <w:bidi w:val="0"/>
        <w:snapToGrid w:val="0"/>
        <w:spacing w:line="400" w:lineRule="exact"/>
        <w:ind w:firstLine="480" w:firstLineChars="200"/>
        <w:textAlignment w:val="auto"/>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bCs/>
          <w:color w:val="0D0D0D" w:themeColor="text1" w:themeTint="F2"/>
          <w:sz w:val="24"/>
          <w:szCs w:val="24"/>
          <w:highlight w:val="none"/>
          <w:lang w:val="zh-CN"/>
          <w14:textFill>
            <w14:solidFill>
              <w14:schemeClr w14:val="tx1">
                <w14:lumMod w14:val="95000"/>
                <w14:lumOff w14:val="5000"/>
              </w14:schemeClr>
            </w14:solidFill>
          </w14:textFill>
        </w:rPr>
        <w:t>2、在中标通知书发出签收后30日内，中标人凭“中标通知书”和已经汇至招标人账上的“履约保证金”凭证，与招标人签订合同，超期或未有协商，则视为自动放弃中标资格。</w:t>
      </w:r>
    </w:p>
    <w:p w14:paraId="1810588D">
      <w:pPr>
        <w:keepNext w:val="0"/>
        <w:keepLines w:val="0"/>
        <w:pageBreakBefore w:val="0"/>
        <w:widowControl w:val="0"/>
        <w:kinsoku/>
        <w:wordWrap/>
        <w:overflowPunct/>
        <w:topLinePunct w:val="0"/>
        <w:autoSpaceDE/>
        <w:autoSpaceDN/>
        <w:bidi w:val="0"/>
        <w:adjustRightInd/>
        <w:snapToGrid w:val="0"/>
        <w:spacing w:before="157" w:beforeLines="50" w:line="400" w:lineRule="exact"/>
        <w:ind w:firstLine="480" w:firstLineChars="200"/>
        <w:textAlignment w:val="auto"/>
        <w:rPr>
          <w:rFonts w:hint="eastAsia" w:ascii="宋体" w:hAnsi="宋体" w:eastAsia="宋体" w:cs="宋体"/>
          <w:bCs/>
          <w:color w:val="0D0D0D" w:themeColor="text1" w:themeTint="F2"/>
          <w:sz w:val="24"/>
          <w:szCs w:val="24"/>
          <w:highlight w:val="none"/>
          <w:lang w:val="zh-CN"/>
          <w14:textFill>
            <w14:solidFill>
              <w14:schemeClr w14:val="tx1">
                <w14:lumMod w14:val="95000"/>
                <w14:lumOff w14:val="5000"/>
              </w14:schemeClr>
            </w14:solidFill>
          </w14:textFill>
        </w:rPr>
      </w:pPr>
      <w:r>
        <w:rPr>
          <w:rFonts w:hint="eastAsia" w:ascii="宋体" w:hAnsi="宋体" w:eastAsia="宋体" w:cs="宋体"/>
          <w:bCs/>
          <w:color w:val="0D0D0D" w:themeColor="text1" w:themeTint="F2"/>
          <w:sz w:val="24"/>
          <w:szCs w:val="24"/>
          <w:highlight w:val="none"/>
          <w:lang w:val="zh-CN"/>
          <w14:textFill>
            <w14:solidFill>
              <w14:schemeClr w14:val="tx1">
                <w14:lumMod w14:val="95000"/>
                <w14:lumOff w14:val="5000"/>
              </w14:schemeClr>
            </w14:solidFill>
          </w14:textFill>
        </w:rPr>
        <w:t>3</w:t>
      </w:r>
      <w:r>
        <w:rPr>
          <w:rFonts w:hint="eastAsia" w:ascii="宋体" w:hAnsi="宋体" w:eastAsia="宋体" w:cs="宋体"/>
          <w:bCs/>
          <w:color w:val="0D0D0D" w:themeColor="text1" w:themeTint="F2"/>
          <w:sz w:val="24"/>
          <w:szCs w:val="24"/>
          <w:highlight w:val="none"/>
          <w:lang w:val="en-US" w:eastAsia="zh-CN"/>
          <w14:textFill>
            <w14:solidFill>
              <w14:schemeClr w14:val="tx1">
                <w14:lumMod w14:val="95000"/>
                <w14:lumOff w14:val="5000"/>
              </w14:schemeClr>
            </w14:solidFill>
          </w14:textFill>
        </w:rPr>
        <w:t>.</w:t>
      </w:r>
      <w:r>
        <w:rPr>
          <w:rFonts w:hint="eastAsia" w:ascii="宋体" w:hAnsi="宋体" w:eastAsia="宋体" w:cs="宋体"/>
          <w:bCs/>
          <w:color w:val="0D0D0D" w:themeColor="text1" w:themeTint="F2"/>
          <w:sz w:val="24"/>
          <w:szCs w:val="24"/>
          <w:highlight w:val="none"/>
          <w:lang w:val="zh-CN"/>
          <w14:textFill>
            <w14:solidFill>
              <w14:schemeClr w14:val="tx1">
                <w14:lumMod w14:val="95000"/>
                <w14:lumOff w14:val="5000"/>
              </w14:schemeClr>
            </w14:solidFill>
          </w14:textFill>
        </w:rPr>
        <w:t>中标人按要求保质保量的完成服务任务，通过招标人考核并提交合同约定的资料后，招标人一次性无息退还履约保证金。</w:t>
      </w:r>
    </w:p>
    <w:p w14:paraId="1A2E30AF">
      <w:pPr>
        <w:keepNext w:val="0"/>
        <w:keepLines w:val="0"/>
        <w:pageBreakBefore w:val="0"/>
        <w:widowControl w:val="0"/>
        <w:kinsoku/>
        <w:wordWrap/>
        <w:overflowPunct/>
        <w:topLinePunct w:val="0"/>
        <w:autoSpaceDE/>
        <w:autoSpaceDN/>
        <w:bidi w:val="0"/>
        <w:adjustRightInd/>
        <w:snapToGrid w:val="0"/>
        <w:spacing w:before="157" w:beforeLines="50" w:line="400" w:lineRule="exact"/>
        <w:ind w:firstLine="480" w:firstLineChars="200"/>
        <w:textAlignment w:val="auto"/>
        <w:rPr>
          <w:rFonts w:hint="eastAsia" w:ascii="宋体" w:hAnsi="宋体" w:eastAsia="宋体" w:cs="宋体"/>
          <w:bCs/>
          <w:color w:val="0D0D0D" w:themeColor="text1" w:themeTint="F2"/>
          <w:sz w:val="24"/>
          <w:szCs w:val="24"/>
          <w:highlight w:val="none"/>
          <w:lang w:val="zh-CN"/>
          <w14:textFill>
            <w14:solidFill>
              <w14:schemeClr w14:val="tx1">
                <w14:lumMod w14:val="95000"/>
                <w14:lumOff w14:val="5000"/>
              </w14:schemeClr>
            </w14:solidFill>
          </w14:textFill>
        </w:rPr>
      </w:pPr>
      <w:r>
        <w:rPr>
          <w:rFonts w:hint="eastAsia" w:ascii="宋体" w:hAnsi="宋体" w:eastAsia="宋体" w:cs="宋体"/>
          <w:bCs/>
          <w:color w:val="0D0D0D" w:themeColor="text1" w:themeTint="F2"/>
          <w:sz w:val="24"/>
          <w:szCs w:val="24"/>
          <w:highlight w:val="none"/>
          <w:lang w:val="zh-CN"/>
          <w14:textFill>
            <w14:solidFill>
              <w14:schemeClr w14:val="tx1">
                <w14:lumMod w14:val="95000"/>
                <w14:lumOff w14:val="5000"/>
              </w14:schemeClr>
            </w14:solidFill>
          </w14:textFill>
        </w:rPr>
        <w:t>4</w:t>
      </w:r>
      <w:r>
        <w:rPr>
          <w:rFonts w:hint="eastAsia" w:ascii="宋体" w:hAnsi="宋体" w:eastAsia="宋体" w:cs="宋体"/>
          <w:bCs/>
          <w:color w:val="0D0D0D" w:themeColor="text1" w:themeTint="F2"/>
          <w:sz w:val="24"/>
          <w:szCs w:val="24"/>
          <w:highlight w:val="none"/>
          <w:lang w:val="en-US" w:eastAsia="zh-CN"/>
          <w14:textFill>
            <w14:solidFill>
              <w14:schemeClr w14:val="tx1">
                <w14:lumMod w14:val="95000"/>
                <w14:lumOff w14:val="5000"/>
              </w14:schemeClr>
            </w14:solidFill>
          </w14:textFill>
        </w:rPr>
        <w:t>.</w:t>
      </w:r>
      <w:r>
        <w:rPr>
          <w:rFonts w:hint="eastAsia" w:ascii="宋体" w:hAnsi="宋体" w:eastAsia="宋体" w:cs="宋体"/>
          <w:bCs/>
          <w:color w:val="0D0D0D" w:themeColor="text1" w:themeTint="F2"/>
          <w:sz w:val="24"/>
          <w:szCs w:val="24"/>
          <w:highlight w:val="none"/>
          <w:lang w:val="zh-CN"/>
          <w14:textFill>
            <w14:solidFill>
              <w14:schemeClr w14:val="tx1">
                <w14:lumMod w14:val="95000"/>
                <w14:lumOff w14:val="5000"/>
              </w14:schemeClr>
            </w14:solidFill>
          </w14:textFill>
        </w:rPr>
        <w:t>由于中标人原因，在签订合同后出现不按合同履约的情况，招标人有权将履约保证金作为违约金，全额扣除并不予退还，同时招标人亦有权终止合同，中标人还须依法承担相应的赔偿责任。</w:t>
      </w:r>
    </w:p>
    <w:p w14:paraId="412CE406">
      <w:pPr>
        <w:keepNext w:val="0"/>
        <w:keepLines w:val="0"/>
        <w:pageBreakBefore w:val="0"/>
        <w:widowControl w:val="0"/>
        <w:kinsoku/>
        <w:wordWrap/>
        <w:overflowPunct/>
        <w:topLinePunct w:val="0"/>
        <w:autoSpaceDE/>
        <w:autoSpaceDN/>
        <w:bidi w:val="0"/>
        <w:adjustRightInd/>
        <w:snapToGrid w:val="0"/>
        <w:spacing w:before="157" w:beforeLines="50" w:line="400" w:lineRule="exact"/>
        <w:ind w:firstLine="482" w:firstLineChars="200"/>
        <w:textAlignment w:val="auto"/>
        <w:rPr>
          <w:rFonts w:hint="eastAsia" w:ascii="宋体" w:hAnsi="宋体" w:eastAsia="宋体" w:cs="宋体"/>
          <w:b/>
          <w:bCs w:val="0"/>
          <w:color w:val="0D0D0D" w:themeColor="text1" w:themeTint="F2"/>
          <w:sz w:val="24"/>
          <w:szCs w:val="24"/>
          <w:highlight w:val="none"/>
          <w:lang w:val="zh-CN"/>
          <w14:textFill>
            <w14:solidFill>
              <w14:schemeClr w14:val="tx1">
                <w14:lumMod w14:val="95000"/>
                <w14:lumOff w14:val="5000"/>
              </w14:schemeClr>
            </w14:solidFill>
          </w14:textFill>
        </w:rPr>
      </w:pPr>
      <w:r>
        <w:rPr>
          <w:rFonts w:hint="eastAsia" w:ascii="宋体" w:hAnsi="宋体" w:eastAsia="宋体" w:cs="宋体"/>
          <w:b/>
          <w:bCs w:val="0"/>
          <w:color w:val="0D0D0D" w:themeColor="text1" w:themeTint="F2"/>
          <w:sz w:val="24"/>
          <w:szCs w:val="24"/>
          <w:highlight w:val="none"/>
          <w:lang w:val="zh-CN"/>
          <w14:textFill>
            <w14:solidFill>
              <w14:schemeClr w14:val="tx1">
                <w14:lumMod w14:val="95000"/>
                <w14:lumOff w14:val="5000"/>
              </w14:schemeClr>
            </w14:solidFill>
          </w14:textFill>
        </w:rPr>
        <w:t>（三）合同签订</w:t>
      </w:r>
    </w:p>
    <w:p w14:paraId="0697EC82">
      <w:pPr>
        <w:keepNext w:val="0"/>
        <w:keepLines w:val="0"/>
        <w:pageBreakBefore w:val="0"/>
        <w:kinsoku/>
        <w:wordWrap/>
        <w:overflowPunct/>
        <w:topLinePunct w:val="0"/>
        <w:autoSpaceDE/>
        <w:autoSpaceDN/>
        <w:bidi w:val="0"/>
        <w:snapToGrid w:val="0"/>
        <w:spacing w:line="400" w:lineRule="exact"/>
        <w:ind w:firstLine="480" w:firstLineChars="200"/>
        <w:textAlignment w:val="auto"/>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bCs/>
          <w:color w:val="0D0D0D" w:themeColor="text1" w:themeTint="F2"/>
          <w:sz w:val="24"/>
          <w:szCs w:val="24"/>
          <w:highlight w:val="none"/>
          <w:lang w:val="zh-CN"/>
          <w14:textFill>
            <w14:solidFill>
              <w14:schemeClr w14:val="tx1">
                <w14:lumMod w14:val="95000"/>
                <w14:lumOff w14:val="5000"/>
              </w14:schemeClr>
            </w14:solidFill>
          </w14:textFill>
        </w:rPr>
        <w:t>招标人与中标人将根据《中华人民共和国民法典》的规定，依据中标通知书及投标文件、标准合同文本订立合同，招标人保留根据需要对合同文本进行进一步修改完善的权利，投标人必须对招标单位合同文本的修改完善认可。</w:t>
      </w:r>
    </w:p>
    <w:p w14:paraId="5631BD75">
      <w:pPr>
        <w:keepNext w:val="0"/>
        <w:keepLines w:val="0"/>
        <w:pageBreakBefore w:val="0"/>
        <w:kinsoku/>
        <w:wordWrap/>
        <w:overflowPunct/>
        <w:topLinePunct w:val="0"/>
        <w:autoSpaceDE/>
        <w:autoSpaceDN/>
        <w:bidi w:val="0"/>
        <w:spacing w:line="400" w:lineRule="exact"/>
        <w:jc w:val="center"/>
        <w:textAlignment w:val="auto"/>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pPr>
    </w:p>
    <w:p w14:paraId="5AB32C05">
      <w:pPr>
        <w:spacing w:line="360" w:lineRule="auto"/>
        <w:jc w:val="center"/>
        <w:rPr>
          <w:rFonts w:hint="eastAsia" w:ascii="宋体" w:hAnsi="宋体" w:eastAsia="宋体" w:cs="宋体"/>
          <w:b/>
          <w:bCs/>
          <w:color w:val="0D0D0D" w:themeColor="text1" w:themeTint="F2"/>
          <w:sz w:val="36"/>
          <w:szCs w:val="36"/>
          <w:highlight w:val="none"/>
          <w14:textFill>
            <w14:solidFill>
              <w14:schemeClr w14:val="tx1">
                <w14:lumMod w14:val="95000"/>
                <w14:lumOff w14:val="5000"/>
              </w14:schemeClr>
            </w14:solidFill>
          </w14:textFill>
        </w:rPr>
      </w:pPr>
    </w:p>
    <w:p w14:paraId="0CD86470">
      <w:pPr>
        <w:spacing w:line="360" w:lineRule="auto"/>
        <w:jc w:val="center"/>
        <w:rPr>
          <w:rFonts w:hint="eastAsia" w:ascii="宋体" w:hAnsi="宋体" w:eastAsia="宋体" w:cs="宋体"/>
          <w:b/>
          <w:bCs/>
          <w:color w:val="0D0D0D" w:themeColor="text1" w:themeTint="F2"/>
          <w:sz w:val="36"/>
          <w:szCs w:val="36"/>
          <w:highlight w:val="none"/>
          <w14:textFill>
            <w14:solidFill>
              <w14:schemeClr w14:val="tx1">
                <w14:lumMod w14:val="95000"/>
                <w14:lumOff w14:val="5000"/>
              </w14:schemeClr>
            </w14:solidFill>
          </w14:textFill>
        </w:rPr>
      </w:pPr>
    </w:p>
    <w:p w14:paraId="6FFE825A">
      <w:pPr>
        <w:spacing w:line="360" w:lineRule="auto"/>
        <w:jc w:val="center"/>
        <w:rPr>
          <w:rFonts w:hint="eastAsia" w:ascii="宋体" w:hAnsi="宋体" w:eastAsia="宋体" w:cs="宋体"/>
          <w:b/>
          <w:bCs/>
          <w:color w:val="0D0D0D" w:themeColor="text1" w:themeTint="F2"/>
          <w:sz w:val="36"/>
          <w:szCs w:val="36"/>
          <w:highlight w:val="none"/>
          <w14:textFill>
            <w14:solidFill>
              <w14:schemeClr w14:val="tx1">
                <w14:lumMod w14:val="95000"/>
                <w14:lumOff w14:val="5000"/>
              </w14:schemeClr>
            </w14:solidFill>
          </w14:textFill>
        </w:rPr>
      </w:pPr>
    </w:p>
    <w:p w14:paraId="4E6E98BB">
      <w:pPr>
        <w:spacing w:line="360" w:lineRule="auto"/>
        <w:jc w:val="center"/>
        <w:rPr>
          <w:rFonts w:hint="eastAsia" w:ascii="宋体" w:hAnsi="宋体" w:eastAsia="宋体" w:cs="宋体"/>
          <w:b/>
          <w:bCs/>
          <w:color w:val="0D0D0D" w:themeColor="text1" w:themeTint="F2"/>
          <w:sz w:val="36"/>
          <w:szCs w:val="36"/>
          <w:highlight w:val="none"/>
          <w14:textFill>
            <w14:solidFill>
              <w14:schemeClr w14:val="tx1">
                <w14:lumMod w14:val="95000"/>
                <w14:lumOff w14:val="5000"/>
              </w14:schemeClr>
            </w14:solidFill>
          </w14:textFill>
        </w:rPr>
      </w:pPr>
    </w:p>
    <w:p w14:paraId="076BE402">
      <w:pPr>
        <w:spacing w:line="360" w:lineRule="auto"/>
        <w:jc w:val="center"/>
        <w:rPr>
          <w:rFonts w:hint="eastAsia" w:ascii="宋体" w:hAnsi="宋体" w:eastAsia="宋体" w:cs="宋体"/>
          <w:b/>
          <w:bCs/>
          <w:color w:val="0D0D0D" w:themeColor="text1" w:themeTint="F2"/>
          <w:sz w:val="36"/>
          <w:szCs w:val="36"/>
          <w:highlight w:val="none"/>
          <w14:textFill>
            <w14:solidFill>
              <w14:schemeClr w14:val="tx1">
                <w14:lumMod w14:val="95000"/>
                <w14:lumOff w14:val="5000"/>
              </w14:schemeClr>
            </w14:solidFill>
          </w14:textFill>
        </w:rPr>
      </w:pPr>
    </w:p>
    <w:p w14:paraId="3F95783C">
      <w:pPr>
        <w:spacing w:line="360" w:lineRule="auto"/>
        <w:jc w:val="both"/>
        <w:rPr>
          <w:rFonts w:hint="eastAsia" w:ascii="宋体" w:hAnsi="宋体" w:eastAsia="宋体" w:cs="宋体"/>
          <w:b/>
          <w:bCs/>
          <w:color w:val="0D0D0D" w:themeColor="text1" w:themeTint="F2"/>
          <w:sz w:val="36"/>
          <w:szCs w:val="36"/>
          <w:highlight w:val="none"/>
          <w14:textFill>
            <w14:solidFill>
              <w14:schemeClr w14:val="tx1">
                <w14:lumMod w14:val="95000"/>
                <w14:lumOff w14:val="5000"/>
              </w14:schemeClr>
            </w14:solidFill>
          </w14:textFill>
        </w:rPr>
      </w:pPr>
    </w:p>
    <w:p w14:paraId="59A8AF23">
      <w:pPr>
        <w:spacing w:line="360" w:lineRule="auto"/>
        <w:jc w:val="center"/>
        <w:rPr>
          <w:rFonts w:hint="eastAsia" w:ascii="宋体" w:hAnsi="宋体" w:eastAsia="宋体" w:cs="宋体"/>
          <w:b/>
          <w:bCs/>
          <w:color w:val="0D0D0D" w:themeColor="text1" w:themeTint="F2"/>
          <w:sz w:val="36"/>
          <w:szCs w:val="36"/>
          <w:highlight w:val="none"/>
          <w14:textFill>
            <w14:solidFill>
              <w14:schemeClr w14:val="tx1">
                <w14:lumMod w14:val="95000"/>
                <w14:lumOff w14:val="5000"/>
              </w14:schemeClr>
            </w14:solidFill>
          </w14:textFill>
        </w:rPr>
      </w:pPr>
    </w:p>
    <w:p w14:paraId="16E2EF03">
      <w:pPr>
        <w:spacing w:line="360" w:lineRule="auto"/>
        <w:jc w:val="center"/>
        <w:rPr>
          <w:rFonts w:hint="eastAsia" w:ascii="宋体" w:hAnsi="宋体" w:eastAsia="宋体" w:cs="宋体"/>
          <w:b/>
          <w:bCs/>
          <w:color w:val="0D0D0D" w:themeColor="text1" w:themeTint="F2"/>
          <w:sz w:val="36"/>
          <w:szCs w:val="36"/>
          <w:highlight w:val="none"/>
          <w14:textFill>
            <w14:solidFill>
              <w14:schemeClr w14:val="tx1">
                <w14:lumMod w14:val="95000"/>
                <w14:lumOff w14:val="5000"/>
              </w14:schemeClr>
            </w14:solidFill>
          </w14:textFill>
        </w:rPr>
      </w:pPr>
      <w:r>
        <w:rPr>
          <w:rFonts w:hint="eastAsia" w:ascii="宋体" w:hAnsi="宋体" w:eastAsia="宋体" w:cs="宋体"/>
          <w:b/>
          <w:bCs/>
          <w:color w:val="0D0D0D" w:themeColor="text1" w:themeTint="F2"/>
          <w:sz w:val="36"/>
          <w:szCs w:val="36"/>
          <w:highlight w:val="none"/>
          <w14:textFill>
            <w14:solidFill>
              <w14:schemeClr w14:val="tx1">
                <w14:lumMod w14:val="95000"/>
                <w14:lumOff w14:val="5000"/>
              </w14:schemeClr>
            </w14:solidFill>
          </w14:textFill>
        </w:rPr>
        <w:t>第三章　评标办法</w:t>
      </w:r>
    </w:p>
    <w:p w14:paraId="62F4DF4E">
      <w:pPr>
        <w:widowControl/>
        <w:tabs>
          <w:tab w:val="left" w:pos="0"/>
          <w:tab w:val="left" w:pos="993"/>
          <w:tab w:val="left" w:pos="1134"/>
        </w:tabs>
        <w:adjustRightInd w:val="0"/>
        <w:snapToGrid w:val="0"/>
        <w:spacing w:line="440" w:lineRule="exact"/>
        <w:ind w:firstLine="482" w:firstLineChars="200"/>
        <w:rPr>
          <w:rFonts w:hint="eastAsia" w:ascii="宋体" w:hAnsi="宋体" w:eastAsia="宋体" w:cs="宋体"/>
          <w:b/>
          <w:bCs w:val="0"/>
          <w:sz w:val="24"/>
          <w:szCs w:val="24"/>
          <w:highlight w:val="none"/>
        </w:rPr>
      </w:pPr>
      <w:r>
        <w:rPr>
          <w:rFonts w:hint="eastAsia" w:ascii="宋体" w:hAnsi="宋体" w:eastAsia="宋体" w:cs="宋体"/>
          <w:b/>
          <w:bCs w:val="0"/>
          <w:sz w:val="24"/>
          <w:szCs w:val="24"/>
          <w:highlight w:val="none"/>
          <w:lang w:val="en-US" w:eastAsia="zh-CN"/>
        </w:rPr>
        <w:t>一、</w:t>
      </w:r>
      <w:r>
        <w:rPr>
          <w:rFonts w:hint="eastAsia" w:ascii="宋体" w:hAnsi="宋体" w:eastAsia="宋体" w:cs="宋体"/>
          <w:b/>
          <w:bCs w:val="0"/>
          <w:sz w:val="24"/>
          <w:szCs w:val="24"/>
          <w:highlight w:val="none"/>
        </w:rPr>
        <w:t>评标程序</w:t>
      </w:r>
    </w:p>
    <w:p w14:paraId="79BA57AA">
      <w:pPr>
        <w:widowControl/>
        <w:tabs>
          <w:tab w:val="left" w:pos="0"/>
          <w:tab w:val="left" w:pos="993"/>
          <w:tab w:val="left" w:pos="1134"/>
        </w:tabs>
        <w:adjustRightInd w:val="0"/>
        <w:snapToGrid w:val="0"/>
        <w:spacing w:line="440" w:lineRule="exact"/>
        <w:ind w:firstLine="480" w:firstLineChars="200"/>
        <w:rPr>
          <w:rFonts w:hint="eastAsia" w:ascii="宋体" w:hAnsi="宋体" w:eastAsia="宋体" w:cs="宋体"/>
          <w:bCs/>
          <w:sz w:val="24"/>
          <w:szCs w:val="24"/>
          <w:highlight w:val="none"/>
        </w:rPr>
      </w:pPr>
      <w:r>
        <w:rPr>
          <w:rFonts w:hint="eastAsia" w:ascii="宋体" w:hAnsi="宋体" w:eastAsia="宋体" w:cs="宋体"/>
          <w:bCs/>
          <w:sz w:val="24"/>
          <w:szCs w:val="24"/>
          <w:highlight w:val="none"/>
        </w:rPr>
        <w:t>资格审查</w:t>
      </w:r>
      <w:r>
        <w:rPr>
          <w:rFonts w:hint="eastAsia" w:ascii="宋体" w:hAnsi="宋体" w:eastAsia="宋体" w:cs="宋体"/>
          <w:bCs/>
          <w:sz w:val="24"/>
          <w:szCs w:val="24"/>
          <w:highlight w:val="none"/>
          <w:lang w:val="en-US" w:eastAsia="zh-CN"/>
        </w:rPr>
        <w:t>→</w:t>
      </w:r>
      <w:r>
        <w:rPr>
          <w:rFonts w:hint="eastAsia" w:ascii="宋体" w:hAnsi="宋体" w:eastAsia="宋体" w:cs="宋体"/>
          <w:bCs/>
          <w:sz w:val="24"/>
          <w:szCs w:val="24"/>
          <w:highlight w:val="none"/>
        </w:rPr>
        <w:t>价格标文件评审</w:t>
      </w:r>
      <w:r>
        <w:rPr>
          <w:rFonts w:hint="eastAsia" w:ascii="宋体" w:hAnsi="宋体" w:eastAsia="宋体" w:cs="宋体"/>
          <w:bCs/>
          <w:sz w:val="24"/>
          <w:szCs w:val="24"/>
          <w:highlight w:val="none"/>
          <w:lang w:val="en-US" w:eastAsia="zh-CN"/>
        </w:rPr>
        <w:t>→</w:t>
      </w:r>
      <w:r>
        <w:rPr>
          <w:rFonts w:hint="eastAsia" w:ascii="宋体" w:hAnsi="宋体" w:eastAsia="宋体" w:cs="宋体"/>
          <w:bCs/>
          <w:sz w:val="24"/>
          <w:szCs w:val="24"/>
          <w:highlight w:val="none"/>
        </w:rPr>
        <w:t>确定中标候选人。</w:t>
      </w:r>
    </w:p>
    <w:p w14:paraId="5362B203">
      <w:pPr>
        <w:keepNext w:val="0"/>
        <w:keepLines w:val="0"/>
        <w:pageBreakBefore w:val="0"/>
        <w:widowControl w:val="0"/>
        <w:kinsoku/>
        <w:wordWrap/>
        <w:overflowPunct/>
        <w:topLinePunct w:val="0"/>
        <w:autoSpaceDE/>
        <w:autoSpaceDN/>
        <w:bidi w:val="0"/>
        <w:adjustRightInd/>
        <w:snapToGrid/>
        <w:spacing w:before="157" w:beforeLines="50" w:line="440" w:lineRule="exact"/>
        <w:ind w:firstLine="482" w:firstLineChars="200"/>
        <w:textAlignment w:val="auto"/>
        <w:rPr>
          <w:rFonts w:hint="eastAsia" w:ascii="宋体" w:hAnsi="宋体" w:eastAsia="宋体" w:cs="宋体"/>
          <w:b/>
          <w:bCs w:val="0"/>
          <w:sz w:val="24"/>
          <w:szCs w:val="24"/>
          <w:highlight w:val="none"/>
        </w:rPr>
      </w:pPr>
      <w:r>
        <w:rPr>
          <w:rFonts w:hint="eastAsia" w:ascii="宋体" w:hAnsi="宋体" w:eastAsia="宋体" w:cs="宋体"/>
          <w:b/>
          <w:bCs w:val="0"/>
          <w:sz w:val="24"/>
          <w:szCs w:val="24"/>
          <w:highlight w:val="none"/>
        </w:rPr>
        <w:t>评标委员会根据参加资格审查的投标人递交的资格审查文件，按照本招标文件《资格审查标准》对投标人的资格进行审查。</w:t>
      </w:r>
    </w:p>
    <w:p w14:paraId="195F71AC">
      <w:pPr>
        <w:widowControl/>
        <w:tabs>
          <w:tab w:val="left" w:pos="0"/>
          <w:tab w:val="left" w:pos="993"/>
          <w:tab w:val="left" w:pos="1134"/>
        </w:tabs>
        <w:adjustRightInd w:val="0"/>
        <w:snapToGrid w:val="0"/>
        <w:spacing w:line="440" w:lineRule="exact"/>
        <w:ind w:firstLine="480" w:firstLineChars="200"/>
        <w:rPr>
          <w:rFonts w:hint="eastAsia" w:ascii="宋体" w:hAnsi="宋体" w:eastAsia="宋体" w:cs="宋体"/>
          <w:bCs/>
          <w:sz w:val="24"/>
          <w:szCs w:val="24"/>
          <w:highlight w:val="none"/>
        </w:rPr>
      </w:pPr>
      <w:r>
        <w:rPr>
          <w:rFonts w:hint="eastAsia" w:ascii="宋体" w:hAnsi="宋体" w:eastAsia="宋体" w:cs="宋体"/>
          <w:bCs/>
          <w:sz w:val="24"/>
          <w:szCs w:val="24"/>
          <w:highlight w:val="none"/>
        </w:rPr>
        <w:t>本次资格审查采用合格制，各投标人资格审查通过后方能进入价格标文件评审。</w:t>
      </w:r>
    </w:p>
    <w:p w14:paraId="7AEB273E">
      <w:pPr>
        <w:spacing w:line="440" w:lineRule="exact"/>
        <w:ind w:firstLine="480" w:firstLineChars="200"/>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lang w:eastAsia="zh-CN"/>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4"/>
          <w:szCs w:val="24"/>
          <w:highlight w:val="none"/>
          <w:lang w:val="en-US" w:eastAsia="zh-CN"/>
          <w14:textFill>
            <w14:solidFill>
              <w14:schemeClr w14:val="tx1">
                <w14:lumMod w14:val="95000"/>
                <w14:lumOff w14:val="5000"/>
              </w14:schemeClr>
            </w14:solidFill>
          </w14:textFill>
        </w:rPr>
        <w:t>一</w:t>
      </w:r>
      <w:r>
        <w:rPr>
          <w:rFonts w:hint="eastAsia" w:ascii="宋体" w:hAnsi="宋体" w:eastAsia="宋体" w:cs="宋体"/>
          <w:color w:val="0D0D0D" w:themeColor="text1" w:themeTint="F2"/>
          <w:sz w:val="24"/>
          <w:szCs w:val="24"/>
          <w:highlight w:val="none"/>
          <w:lang w:eastAsia="zh-CN"/>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 xml:space="preserve">资格审查 </w:t>
      </w:r>
    </w:p>
    <w:tbl>
      <w:tblPr>
        <w:tblStyle w:val="26"/>
        <w:tblW w:w="9600" w:type="dxa"/>
        <w:tblCellSpacing w:w="0" w:type="dxa"/>
        <w:tblInd w:w="-84"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639"/>
        <w:gridCol w:w="2331"/>
        <w:gridCol w:w="4980"/>
        <w:gridCol w:w="1650"/>
      </w:tblGrid>
      <w:tr w14:paraId="78723289">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639" w:type="dxa"/>
            <w:tcBorders>
              <w:top w:val="outset" w:color="auto" w:sz="6" w:space="0"/>
              <w:left w:val="outset" w:color="auto" w:sz="6" w:space="0"/>
              <w:bottom w:val="outset" w:color="auto" w:sz="6" w:space="0"/>
              <w:right w:val="outset" w:color="auto" w:sz="6" w:space="0"/>
            </w:tcBorders>
            <w:vAlign w:val="center"/>
          </w:tcPr>
          <w:p w14:paraId="1B826DB9">
            <w:pPr>
              <w:widowControl/>
              <w:spacing w:line="440" w:lineRule="exact"/>
              <w:jc w:val="center"/>
              <w:rPr>
                <w:rFonts w:hint="eastAsia" w:ascii="宋体" w:hAnsi="宋体" w:eastAsia="宋体" w:cs="宋体"/>
                <w:b/>
                <w:bCs/>
                <w:color w:val="0D0D0D" w:themeColor="text1" w:themeTint="F2"/>
                <w:kern w:val="0"/>
                <w:sz w:val="21"/>
                <w:szCs w:val="21"/>
                <w:highlight w:val="none"/>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0"/>
                <w:sz w:val="21"/>
                <w:szCs w:val="21"/>
                <w:highlight w:val="none"/>
                <w14:textFill>
                  <w14:solidFill>
                    <w14:schemeClr w14:val="tx1">
                      <w14:lumMod w14:val="95000"/>
                      <w14:lumOff w14:val="5000"/>
                    </w14:schemeClr>
                  </w14:solidFill>
                </w14:textFill>
              </w:rPr>
              <w:t>序号</w:t>
            </w:r>
          </w:p>
        </w:tc>
        <w:tc>
          <w:tcPr>
            <w:tcW w:w="2331" w:type="dxa"/>
            <w:tcBorders>
              <w:top w:val="outset" w:color="auto" w:sz="6" w:space="0"/>
              <w:left w:val="outset" w:color="auto" w:sz="6" w:space="0"/>
              <w:bottom w:val="outset" w:color="auto" w:sz="6" w:space="0"/>
              <w:right w:val="outset" w:color="auto" w:sz="6" w:space="0"/>
            </w:tcBorders>
            <w:vAlign w:val="center"/>
          </w:tcPr>
          <w:p w14:paraId="6DFABB61">
            <w:pPr>
              <w:widowControl/>
              <w:spacing w:line="440" w:lineRule="exact"/>
              <w:jc w:val="center"/>
              <w:rPr>
                <w:rFonts w:hint="eastAsia" w:ascii="宋体" w:hAnsi="宋体" w:eastAsia="宋体" w:cs="宋体"/>
                <w:b/>
                <w:bCs/>
                <w:color w:val="0D0D0D" w:themeColor="text1" w:themeTint="F2"/>
                <w:kern w:val="0"/>
                <w:sz w:val="21"/>
                <w:szCs w:val="21"/>
                <w:highlight w:val="none"/>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0"/>
                <w:sz w:val="21"/>
                <w:szCs w:val="21"/>
                <w:highlight w:val="none"/>
                <w14:textFill>
                  <w14:solidFill>
                    <w14:schemeClr w14:val="tx1">
                      <w14:lumMod w14:val="95000"/>
                      <w14:lumOff w14:val="5000"/>
                    </w14:schemeClr>
                  </w14:solidFill>
                </w14:textFill>
              </w:rPr>
              <w:t>项目内容</w:t>
            </w:r>
          </w:p>
        </w:tc>
        <w:tc>
          <w:tcPr>
            <w:tcW w:w="4980" w:type="dxa"/>
            <w:tcBorders>
              <w:top w:val="outset" w:color="auto" w:sz="6" w:space="0"/>
              <w:left w:val="outset" w:color="auto" w:sz="6" w:space="0"/>
              <w:bottom w:val="outset" w:color="auto" w:sz="6" w:space="0"/>
              <w:right w:val="outset" w:color="auto" w:sz="6" w:space="0"/>
            </w:tcBorders>
            <w:vAlign w:val="center"/>
          </w:tcPr>
          <w:p w14:paraId="53D6EA61">
            <w:pPr>
              <w:widowControl/>
              <w:spacing w:line="440" w:lineRule="exact"/>
              <w:jc w:val="center"/>
              <w:rPr>
                <w:rFonts w:hint="eastAsia" w:ascii="宋体" w:hAnsi="宋体" w:eastAsia="宋体" w:cs="宋体"/>
                <w:b/>
                <w:bCs/>
                <w:color w:val="0D0D0D" w:themeColor="text1" w:themeTint="F2"/>
                <w:kern w:val="0"/>
                <w:sz w:val="21"/>
                <w:szCs w:val="21"/>
                <w:highlight w:val="none"/>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0"/>
                <w:sz w:val="21"/>
                <w:szCs w:val="21"/>
                <w:highlight w:val="none"/>
                <w14:textFill>
                  <w14:solidFill>
                    <w14:schemeClr w14:val="tx1">
                      <w14:lumMod w14:val="95000"/>
                      <w14:lumOff w14:val="5000"/>
                    </w14:schemeClr>
                  </w14:solidFill>
                </w14:textFill>
              </w:rPr>
              <w:t>合格条件</w:t>
            </w:r>
          </w:p>
        </w:tc>
        <w:tc>
          <w:tcPr>
            <w:tcW w:w="1650" w:type="dxa"/>
            <w:tcBorders>
              <w:top w:val="outset" w:color="auto" w:sz="6" w:space="0"/>
              <w:left w:val="outset" w:color="auto" w:sz="6" w:space="0"/>
              <w:bottom w:val="outset" w:color="auto" w:sz="6" w:space="0"/>
              <w:right w:val="outset" w:color="auto" w:sz="6" w:space="0"/>
            </w:tcBorders>
            <w:vAlign w:val="center"/>
          </w:tcPr>
          <w:p w14:paraId="44E7B959">
            <w:pPr>
              <w:widowControl/>
              <w:spacing w:line="440" w:lineRule="exact"/>
              <w:jc w:val="center"/>
              <w:rPr>
                <w:rFonts w:hint="eastAsia" w:ascii="宋体" w:hAnsi="宋体" w:eastAsia="宋体" w:cs="宋体"/>
                <w:b/>
                <w:bCs/>
                <w:color w:val="0D0D0D" w:themeColor="text1" w:themeTint="F2"/>
                <w:kern w:val="0"/>
                <w:sz w:val="21"/>
                <w:szCs w:val="21"/>
                <w:highlight w:val="none"/>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0"/>
                <w:sz w:val="21"/>
                <w:szCs w:val="21"/>
                <w:highlight w:val="none"/>
                <w14:textFill>
                  <w14:solidFill>
                    <w14:schemeClr w14:val="tx1">
                      <w14:lumMod w14:val="95000"/>
                      <w14:lumOff w14:val="5000"/>
                    </w14:schemeClr>
                  </w14:solidFill>
                </w14:textFill>
              </w:rPr>
              <w:t>投标申请人具备</w:t>
            </w:r>
          </w:p>
          <w:p w14:paraId="6E103100">
            <w:pPr>
              <w:widowControl/>
              <w:spacing w:line="440" w:lineRule="exact"/>
              <w:jc w:val="center"/>
              <w:rPr>
                <w:rFonts w:hint="eastAsia" w:ascii="宋体" w:hAnsi="宋体" w:eastAsia="宋体" w:cs="宋体"/>
                <w:b/>
                <w:bCs/>
                <w:color w:val="0D0D0D" w:themeColor="text1" w:themeTint="F2"/>
                <w:kern w:val="0"/>
                <w:sz w:val="21"/>
                <w:szCs w:val="21"/>
                <w:highlight w:val="none"/>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0"/>
                <w:sz w:val="21"/>
                <w:szCs w:val="21"/>
                <w:highlight w:val="none"/>
                <w14:textFill>
                  <w14:solidFill>
                    <w14:schemeClr w14:val="tx1">
                      <w14:lumMod w14:val="95000"/>
                      <w14:lumOff w14:val="5000"/>
                    </w14:schemeClr>
                  </w14:solidFill>
                </w14:textFill>
              </w:rPr>
              <w:t>的条件或说明</w:t>
            </w:r>
          </w:p>
        </w:tc>
      </w:tr>
      <w:tr w14:paraId="58B70002">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080" w:hRule="atLeast"/>
          <w:tblCellSpacing w:w="0" w:type="dxa"/>
        </w:trPr>
        <w:tc>
          <w:tcPr>
            <w:tcW w:w="639" w:type="dxa"/>
            <w:tcBorders>
              <w:top w:val="outset" w:color="auto" w:sz="6" w:space="0"/>
              <w:left w:val="outset" w:color="auto" w:sz="6" w:space="0"/>
              <w:bottom w:val="outset" w:color="auto" w:sz="6" w:space="0"/>
              <w:right w:val="outset" w:color="auto" w:sz="6" w:space="0"/>
            </w:tcBorders>
            <w:vAlign w:val="center"/>
          </w:tcPr>
          <w:p w14:paraId="2A3A4D9F">
            <w:pPr>
              <w:widowControl/>
              <w:spacing w:line="440" w:lineRule="exact"/>
              <w:jc w:val="cente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1</w:t>
            </w:r>
          </w:p>
        </w:tc>
        <w:tc>
          <w:tcPr>
            <w:tcW w:w="2331" w:type="dxa"/>
            <w:tcBorders>
              <w:top w:val="outset" w:color="auto" w:sz="6" w:space="0"/>
              <w:left w:val="outset" w:color="auto" w:sz="6" w:space="0"/>
              <w:bottom w:val="outset" w:color="auto" w:sz="6" w:space="0"/>
              <w:right w:val="outset" w:color="auto" w:sz="6" w:space="0"/>
            </w:tcBorders>
            <w:vAlign w:val="center"/>
          </w:tcPr>
          <w:p w14:paraId="20ED20C7">
            <w:pPr>
              <w:spacing w:line="440" w:lineRule="exact"/>
              <w:jc w:val="cente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法人身份证明书或</w:t>
            </w:r>
            <w:r>
              <w:rPr>
                <w:rFonts w:hint="eastAsia" w:ascii="宋体" w:hAnsi="宋体" w:eastAsia="宋体" w:cs="宋体"/>
                <w:color w:val="0D0D0D" w:themeColor="text1" w:themeTint="F2"/>
                <w:sz w:val="21"/>
                <w:szCs w:val="21"/>
                <w:highlight w:val="none"/>
                <w:lang w:val="en-US" w:eastAsia="zh-CN"/>
                <w14:textFill>
                  <w14:solidFill>
                    <w14:schemeClr w14:val="tx1">
                      <w14:lumMod w14:val="95000"/>
                      <w14:lumOff w14:val="5000"/>
                    </w14:schemeClr>
                  </w14:solidFill>
                </w14:textFill>
              </w:rPr>
              <w:t xml:space="preserve">     </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法人的授权委托书</w:t>
            </w:r>
          </w:p>
        </w:tc>
        <w:tc>
          <w:tcPr>
            <w:tcW w:w="4980" w:type="dxa"/>
            <w:tcBorders>
              <w:top w:val="outset" w:color="auto" w:sz="6" w:space="0"/>
              <w:left w:val="outset" w:color="auto" w:sz="6" w:space="0"/>
              <w:bottom w:val="outset" w:color="auto" w:sz="6" w:space="0"/>
              <w:right w:val="outset" w:color="auto" w:sz="6" w:space="0"/>
            </w:tcBorders>
            <w:vAlign w:val="center"/>
          </w:tcPr>
          <w:p w14:paraId="75E50C7E">
            <w:pPr>
              <w:widowControl/>
              <w:spacing w:line="440" w:lineRule="exact"/>
              <w:ind w:firstLine="420" w:firstLineChars="200"/>
              <w:jc w:val="left"/>
              <w:rPr>
                <w:rFonts w:hint="eastAsia" w:ascii="宋体" w:hAnsi="宋体" w:eastAsia="宋体" w:cs="宋体"/>
                <w:color w:val="0D0D0D" w:themeColor="text1" w:themeTint="F2"/>
                <w:sz w:val="21"/>
                <w:szCs w:val="21"/>
                <w:highlight w:val="none"/>
                <w:lang w:eastAsia="zh-CN"/>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法定代表人身份证明书、授权委托书原件并提供授权委托人的身份证复印件加盖单位公章；如企业法定代表人参与投标，无需授权委托书，</w:t>
            </w:r>
            <w:r>
              <w:rPr>
                <w:rFonts w:hint="eastAsia" w:ascii="宋体" w:hAnsi="宋体" w:eastAsia="宋体" w:cs="宋体"/>
                <w:color w:val="0D0D0D" w:themeColor="text1" w:themeTint="F2"/>
                <w:sz w:val="21"/>
                <w:szCs w:val="21"/>
                <w:highlight w:val="none"/>
                <w:lang w:val="en-US" w:eastAsia="zh-CN"/>
                <w14:textFill>
                  <w14:solidFill>
                    <w14:schemeClr w14:val="tx1">
                      <w14:lumMod w14:val="95000"/>
                      <w14:lumOff w14:val="5000"/>
                    </w14:schemeClr>
                  </w14:solidFill>
                </w14:textFill>
              </w:rPr>
              <w:t>请</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提供法定代表人身份证明书及法定代表人身份证复印件加盖单位公章</w:t>
            </w:r>
          </w:p>
        </w:tc>
        <w:tc>
          <w:tcPr>
            <w:tcW w:w="1650" w:type="dxa"/>
            <w:tcBorders>
              <w:top w:val="outset" w:color="auto" w:sz="6" w:space="0"/>
              <w:left w:val="outset" w:color="auto" w:sz="6" w:space="0"/>
              <w:bottom w:val="outset" w:color="auto" w:sz="6" w:space="0"/>
              <w:right w:val="outset" w:color="auto" w:sz="6" w:space="0"/>
            </w:tcBorders>
            <w:vAlign w:val="center"/>
          </w:tcPr>
          <w:p w14:paraId="7976DECA">
            <w:pPr>
              <w:widowControl/>
              <w:spacing w:line="440" w:lineRule="exact"/>
              <w:jc w:val="cente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检查有效性</w:t>
            </w:r>
          </w:p>
        </w:tc>
      </w:tr>
      <w:tr w14:paraId="0963761F">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cantSplit/>
          <w:trHeight w:val="515" w:hRule="atLeast"/>
          <w:tblCellSpacing w:w="0" w:type="dxa"/>
        </w:trPr>
        <w:tc>
          <w:tcPr>
            <w:tcW w:w="639" w:type="dxa"/>
            <w:tcBorders>
              <w:top w:val="outset" w:color="auto" w:sz="6" w:space="0"/>
              <w:left w:val="outset" w:color="auto" w:sz="6" w:space="0"/>
              <w:right w:val="outset" w:color="auto" w:sz="6" w:space="0"/>
            </w:tcBorders>
            <w:vAlign w:val="center"/>
          </w:tcPr>
          <w:p w14:paraId="60193A69">
            <w:pPr>
              <w:widowControl/>
              <w:spacing w:line="440" w:lineRule="exact"/>
              <w:jc w:val="center"/>
              <w:rPr>
                <w:rFonts w:hint="eastAsia" w:ascii="宋体" w:hAnsi="宋体" w:eastAsia="宋体" w:cs="宋体"/>
                <w:color w:val="0D0D0D" w:themeColor="text1" w:themeTint="F2"/>
                <w:kern w:val="0"/>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0"/>
                <w:sz w:val="21"/>
                <w:szCs w:val="21"/>
                <w:highlight w:val="none"/>
                <w14:textFill>
                  <w14:solidFill>
                    <w14:schemeClr w14:val="tx1">
                      <w14:lumMod w14:val="95000"/>
                      <w14:lumOff w14:val="5000"/>
                    </w14:schemeClr>
                  </w14:solidFill>
                </w14:textFill>
              </w:rPr>
              <w:t>2</w:t>
            </w:r>
          </w:p>
        </w:tc>
        <w:tc>
          <w:tcPr>
            <w:tcW w:w="2331" w:type="dxa"/>
            <w:tcBorders>
              <w:top w:val="outset" w:color="auto" w:sz="6" w:space="0"/>
              <w:left w:val="outset" w:color="auto" w:sz="6" w:space="0"/>
              <w:right w:val="outset" w:color="auto" w:sz="6" w:space="0"/>
            </w:tcBorders>
            <w:vAlign w:val="center"/>
          </w:tcPr>
          <w:p w14:paraId="212F009E">
            <w:pPr>
              <w:widowControl/>
              <w:spacing w:line="440" w:lineRule="exact"/>
              <w:jc w:val="center"/>
              <w:rPr>
                <w:rFonts w:hint="eastAsia" w:ascii="宋体" w:hAnsi="宋体" w:eastAsia="宋体" w:cs="宋体"/>
                <w:color w:val="0D0D0D" w:themeColor="text1" w:themeTint="F2"/>
                <w:kern w:val="0"/>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0"/>
                <w:sz w:val="21"/>
                <w:szCs w:val="21"/>
                <w:highlight w:val="none"/>
                <w14:textFill>
                  <w14:solidFill>
                    <w14:schemeClr w14:val="tx1">
                      <w14:lumMod w14:val="95000"/>
                      <w14:lumOff w14:val="5000"/>
                    </w14:schemeClr>
                  </w14:solidFill>
                </w14:textFill>
              </w:rPr>
              <w:t>法人营业执照</w:t>
            </w:r>
          </w:p>
        </w:tc>
        <w:tc>
          <w:tcPr>
            <w:tcW w:w="4980" w:type="dxa"/>
            <w:tcBorders>
              <w:top w:val="outset" w:color="auto" w:sz="6" w:space="0"/>
              <w:left w:val="outset" w:color="auto" w:sz="6" w:space="0"/>
              <w:right w:val="outset" w:color="auto" w:sz="6" w:space="0"/>
            </w:tcBorders>
            <w:vAlign w:val="center"/>
          </w:tcPr>
          <w:p w14:paraId="23E9FC37">
            <w:pPr>
              <w:widowControl/>
              <w:spacing w:line="440" w:lineRule="exact"/>
              <w:ind w:firstLine="420" w:firstLineChars="200"/>
              <w:jc w:val="left"/>
              <w:rPr>
                <w:rFonts w:hint="eastAsia" w:ascii="宋体" w:hAnsi="宋体" w:eastAsia="宋体" w:cs="宋体"/>
                <w:color w:val="0D0D0D" w:themeColor="text1" w:themeTint="F2"/>
                <w:kern w:val="0"/>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0"/>
                <w:sz w:val="21"/>
                <w:szCs w:val="21"/>
                <w:highlight w:val="none"/>
                <w14:textFill>
                  <w14:solidFill>
                    <w14:schemeClr w14:val="tx1">
                      <w14:lumMod w14:val="95000"/>
                      <w14:lumOff w14:val="5000"/>
                    </w14:schemeClr>
                  </w14:solidFill>
                </w14:textFill>
              </w:rPr>
              <w:t>企业法人营业执照复印件加盖单位公章</w:t>
            </w:r>
          </w:p>
        </w:tc>
        <w:tc>
          <w:tcPr>
            <w:tcW w:w="1650" w:type="dxa"/>
            <w:tcBorders>
              <w:top w:val="outset" w:color="auto" w:sz="6" w:space="0"/>
              <w:left w:val="outset" w:color="auto" w:sz="6" w:space="0"/>
              <w:right w:val="outset" w:color="auto" w:sz="6" w:space="0"/>
            </w:tcBorders>
            <w:vAlign w:val="center"/>
          </w:tcPr>
          <w:p w14:paraId="54DE87A1">
            <w:pPr>
              <w:widowControl/>
              <w:spacing w:line="440" w:lineRule="exact"/>
              <w:jc w:val="center"/>
              <w:rPr>
                <w:rFonts w:hint="eastAsia" w:ascii="宋体" w:hAnsi="宋体" w:eastAsia="宋体" w:cs="宋体"/>
                <w:color w:val="0D0D0D" w:themeColor="text1" w:themeTint="F2"/>
                <w:kern w:val="0"/>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0"/>
                <w:sz w:val="21"/>
                <w:szCs w:val="21"/>
                <w:highlight w:val="none"/>
                <w14:textFill>
                  <w14:solidFill>
                    <w14:schemeClr w14:val="tx1">
                      <w14:lumMod w14:val="95000"/>
                      <w14:lumOff w14:val="5000"/>
                    </w14:schemeClr>
                  </w14:solidFill>
                </w14:textFill>
              </w:rPr>
              <w:t>真实有效</w:t>
            </w:r>
          </w:p>
        </w:tc>
      </w:tr>
      <w:tr w14:paraId="12FECD9E">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cantSplit/>
          <w:trHeight w:val="515" w:hRule="atLeast"/>
          <w:tblCellSpacing w:w="0" w:type="dxa"/>
        </w:trPr>
        <w:tc>
          <w:tcPr>
            <w:tcW w:w="639" w:type="dxa"/>
            <w:tcBorders>
              <w:top w:val="outset" w:color="auto" w:sz="6" w:space="0"/>
              <w:left w:val="outset" w:color="auto" w:sz="6" w:space="0"/>
              <w:right w:val="outset" w:color="auto" w:sz="6" w:space="0"/>
            </w:tcBorders>
            <w:vAlign w:val="center"/>
          </w:tcPr>
          <w:p w14:paraId="58769F49">
            <w:pPr>
              <w:widowControl/>
              <w:spacing w:line="440" w:lineRule="exact"/>
              <w:jc w:val="center"/>
              <w:rPr>
                <w:rFonts w:hint="eastAsia" w:ascii="宋体" w:hAnsi="宋体" w:eastAsia="宋体" w:cs="宋体"/>
                <w:color w:val="0D0D0D" w:themeColor="text1" w:themeTint="F2"/>
                <w:kern w:val="0"/>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0"/>
                <w:sz w:val="21"/>
                <w:szCs w:val="21"/>
                <w:highlight w:val="none"/>
                <w14:textFill>
                  <w14:solidFill>
                    <w14:schemeClr w14:val="tx1">
                      <w14:lumMod w14:val="95000"/>
                      <w14:lumOff w14:val="5000"/>
                    </w14:schemeClr>
                  </w14:solidFill>
                </w14:textFill>
              </w:rPr>
              <w:t>3</w:t>
            </w:r>
          </w:p>
        </w:tc>
        <w:tc>
          <w:tcPr>
            <w:tcW w:w="2331" w:type="dxa"/>
            <w:tcBorders>
              <w:top w:val="outset" w:color="auto" w:sz="6" w:space="0"/>
              <w:left w:val="outset" w:color="auto" w:sz="6" w:space="0"/>
              <w:right w:val="outset" w:color="auto" w:sz="6" w:space="0"/>
            </w:tcBorders>
            <w:vAlign w:val="center"/>
          </w:tcPr>
          <w:p w14:paraId="2B4095A4">
            <w:pPr>
              <w:widowControl/>
              <w:spacing w:line="440" w:lineRule="exact"/>
              <w:jc w:val="center"/>
              <w:rPr>
                <w:rFonts w:hint="eastAsia" w:ascii="宋体" w:hAnsi="宋体" w:eastAsia="宋体" w:cs="宋体"/>
                <w:color w:val="0D0D0D" w:themeColor="text1" w:themeTint="F2"/>
                <w:kern w:val="0"/>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0"/>
                <w:sz w:val="21"/>
                <w:szCs w:val="21"/>
                <w:highlight w:val="none"/>
                <w14:textFill>
                  <w14:solidFill>
                    <w14:schemeClr w14:val="tx1">
                      <w14:lumMod w14:val="95000"/>
                      <w14:lumOff w14:val="5000"/>
                    </w14:schemeClr>
                  </w14:solidFill>
                </w14:textFill>
              </w:rPr>
              <w:t>资质证书</w:t>
            </w:r>
          </w:p>
        </w:tc>
        <w:tc>
          <w:tcPr>
            <w:tcW w:w="4980" w:type="dxa"/>
            <w:tcBorders>
              <w:top w:val="outset" w:color="auto" w:sz="6" w:space="0"/>
              <w:left w:val="outset" w:color="auto" w:sz="6" w:space="0"/>
              <w:right w:val="outset" w:color="auto" w:sz="6" w:space="0"/>
            </w:tcBorders>
            <w:vAlign w:val="center"/>
          </w:tcPr>
          <w:p w14:paraId="1E6F8BE9">
            <w:pPr>
              <w:widowControl/>
              <w:spacing w:line="440" w:lineRule="exact"/>
              <w:ind w:firstLine="420" w:firstLineChars="200"/>
              <w:jc w:val="left"/>
              <w:rPr>
                <w:rFonts w:hint="eastAsia" w:ascii="宋体" w:hAnsi="宋体" w:eastAsia="宋体" w:cs="宋体"/>
                <w:color w:val="0D0D0D" w:themeColor="text1" w:themeTint="F2"/>
                <w:kern w:val="0"/>
                <w:sz w:val="21"/>
                <w:szCs w:val="21"/>
                <w:highlight w:val="none"/>
                <w:lang w:val="en-US"/>
                <w14:textFill>
                  <w14:solidFill>
                    <w14:schemeClr w14:val="tx1">
                      <w14:lumMod w14:val="95000"/>
                      <w14:lumOff w14:val="5000"/>
                    </w14:schemeClr>
                  </w14:solidFill>
                </w14:textFill>
              </w:rPr>
            </w:pPr>
            <w:r>
              <w:rPr>
                <w:rFonts w:hint="eastAsia" w:ascii="宋体" w:hAnsi="宋体" w:eastAsia="宋体" w:cs="宋体"/>
                <w:sz w:val="21"/>
                <w:szCs w:val="21"/>
                <w:highlight w:val="none"/>
                <w:lang w:val="en-US" w:eastAsia="zh-CN"/>
              </w:rPr>
              <w:t>具有国家电管部门颁发的承装（修、试）电力设施许可证：承装类四级（含四级）或承修类四级（含四级）或承试类四级（含四级）及以上资质</w:t>
            </w:r>
          </w:p>
        </w:tc>
        <w:tc>
          <w:tcPr>
            <w:tcW w:w="1650" w:type="dxa"/>
            <w:tcBorders>
              <w:top w:val="outset" w:color="auto" w:sz="6" w:space="0"/>
              <w:left w:val="outset" w:color="auto" w:sz="6" w:space="0"/>
              <w:right w:val="outset" w:color="auto" w:sz="6" w:space="0"/>
            </w:tcBorders>
            <w:vAlign w:val="center"/>
          </w:tcPr>
          <w:p w14:paraId="6DFE9FEA">
            <w:pPr>
              <w:widowControl/>
              <w:spacing w:line="440" w:lineRule="exact"/>
              <w:jc w:val="center"/>
              <w:rPr>
                <w:rFonts w:hint="eastAsia" w:ascii="宋体" w:hAnsi="宋体" w:eastAsia="宋体" w:cs="宋体"/>
                <w:color w:val="0D0D0D" w:themeColor="text1" w:themeTint="F2"/>
                <w:kern w:val="0"/>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0"/>
                <w:sz w:val="21"/>
                <w:szCs w:val="21"/>
                <w:highlight w:val="none"/>
                <w14:textFill>
                  <w14:solidFill>
                    <w14:schemeClr w14:val="tx1">
                      <w14:lumMod w14:val="95000"/>
                      <w14:lumOff w14:val="5000"/>
                    </w14:schemeClr>
                  </w14:solidFill>
                </w14:textFill>
              </w:rPr>
              <w:t>真实有效</w:t>
            </w:r>
          </w:p>
        </w:tc>
      </w:tr>
      <w:tr w14:paraId="33892F63">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cantSplit/>
          <w:trHeight w:val="515" w:hRule="atLeast"/>
          <w:tblCellSpacing w:w="0" w:type="dxa"/>
        </w:trPr>
        <w:tc>
          <w:tcPr>
            <w:tcW w:w="639" w:type="dxa"/>
            <w:tcBorders>
              <w:top w:val="outset" w:color="auto" w:sz="6" w:space="0"/>
              <w:left w:val="outset" w:color="auto" w:sz="6" w:space="0"/>
              <w:right w:val="outset" w:color="auto" w:sz="6" w:space="0"/>
            </w:tcBorders>
            <w:vAlign w:val="center"/>
          </w:tcPr>
          <w:p w14:paraId="6A12315F">
            <w:pPr>
              <w:widowControl/>
              <w:spacing w:line="440" w:lineRule="exact"/>
              <w:jc w:val="center"/>
              <w:rPr>
                <w:rFonts w:hint="eastAsia" w:ascii="宋体" w:hAnsi="宋体" w:eastAsia="宋体" w:cs="宋体"/>
                <w:color w:val="0D0D0D" w:themeColor="text1" w:themeTint="F2"/>
                <w:kern w:val="0"/>
                <w:sz w:val="21"/>
                <w:szCs w:val="21"/>
                <w:highlight w:val="none"/>
                <w:lang w:val="en-US" w:eastAsia="zh-CN"/>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0"/>
                <w:sz w:val="21"/>
                <w:szCs w:val="21"/>
                <w:highlight w:val="none"/>
                <w:lang w:val="en-US" w:eastAsia="zh-CN"/>
                <w14:textFill>
                  <w14:solidFill>
                    <w14:schemeClr w14:val="tx1">
                      <w14:lumMod w14:val="95000"/>
                      <w14:lumOff w14:val="5000"/>
                    </w14:schemeClr>
                  </w14:solidFill>
                </w14:textFill>
              </w:rPr>
              <w:t>4</w:t>
            </w:r>
          </w:p>
        </w:tc>
        <w:tc>
          <w:tcPr>
            <w:tcW w:w="2331" w:type="dxa"/>
            <w:tcBorders>
              <w:top w:val="outset" w:color="auto" w:sz="6" w:space="0"/>
              <w:left w:val="outset" w:color="auto" w:sz="6" w:space="0"/>
              <w:right w:val="outset" w:color="auto" w:sz="6" w:space="0"/>
            </w:tcBorders>
            <w:vAlign w:val="center"/>
          </w:tcPr>
          <w:p w14:paraId="3AAE90AF">
            <w:pPr>
              <w:widowControl/>
              <w:spacing w:line="440" w:lineRule="exact"/>
              <w:jc w:val="center"/>
              <w:rPr>
                <w:rFonts w:hint="eastAsia" w:ascii="宋体" w:hAnsi="宋体" w:eastAsia="宋体" w:cs="宋体"/>
                <w:color w:val="0D0D0D" w:themeColor="text1" w:themeTint="F2"/>
                <w:kern w:val="0"/>
                <w:sz w:val="21"/>
                <w:szCs w:val="21"/>
                <w:highlight w:val="none"/>
                <w:lang w:val="en-US" w:eastAsia="zh-CN"/>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0"/>
                <w:sz w:val="21"/>
                <w:szCs w:val="21"/>
                <w:highlight w:val="none"/>
                <w:lang w:val="en-US" w:eastAsia="zh-CN"/>
                <w14:textFill>
                  <w14:solidFill>
                    <w14:schemeClr w14:val="tx1">
                      <w14:lumMod w14:val="95000"/>
                      <w14:lumOff w14:val="5000"/>
                    </w14:schemeClr>
                  </w14:solidFill>
                </w14:textFill>
              </w:rPr>
              <w:t>检测报告</w:t>
            </w:r>
          </w:p>
        </w:tc>
        <w:tc>
          <w:tcPr>
            <w:tcW w:w="4980" w:type="dxa"/>
            <w:tcBorders>
              <w:top w:val="outset" w:color="auto" w:sz="6" w:space="0"/>
              <w:left w:val="outset" w:color="auto" w:sz="6" w:space="0"/>
              <w:right w:val="outset" w:color="auto" w:sz="6" w:space="0"/>
            </w:tcBorders>
            <w:vAlign w:val="center"/>
          </w:tcPr>
          <w:p w14:paraId="00C19CAE">
            <w:pPr>
              <w:widowControl/>
              <w:spacing w:line="440" w:lineRule="exact"/>
              <w:ind w:firstLine="420" w:firstLineChars="200"/>
              <w:jc w:val="left"/>
              <w:rPr>
                <w:rFonts w:hint="eastAsia" w:ascii="宋体" w:hAnsi="宋体" w:eastAsia="宋体" w:cs="宋体"/>
                <w:sz w:val="21"/>
                <w:szCs w:val="21"/>
                <w:highlight w:val="none"/>
                <w:lang w:val="en-US" w:eastAsia="zh-CN"/>
              </w:rPr>
            </w:pPr>
            <w:r>
              <w:rPr>
                <w:rFonts w:hint="eastAsia" w:ascii="宋体" w:hAnsi="宋体" w:eastAsia="宋体" w:cs="宋体"/>
                <w:kern w:val="0"/>
                <w:sz w:val="21"/>
                <w:szCs w:val="21"/>
                <w:highlight w:val="none"/>
                <w:lang w:val="en-US" w:eastAsia="zh-CN"/>
              </w:rPr>
              <w:t>所投产品必须提供</w:t>
            </w:r>
            <w:r>
              <w:rPr>
                <w:rFonts w:hint="eastAsia" w:ascii="宋体" w:hAnsi="宋体" w:eastAsia="宋体" w:cs="宋体"/>
                <w:kern w:val="0"/>
                <w:sz w:val="21"/>
                <w:szCs w:val="21"/>
                <w:highlight w:val="none"/>
              </w:rPr>
              <w:t>有资质的第三方检测机构出具的</w:t>
            </w:r>
            <w:r>
              <w:rPr>
                <w:rFonts w:hint="eastAsia" w:ascii="宋体" w:hAnsi="宋体" w:eastAsia="宋体" w:cs="宋体"/>
                <w:kern w:val="0"/>
                <w:sz w:val="21"/>
                <w:szCs w:val="21"/>
                <w:highlight w:val="none"/>
                <w:lang w:val="en-US" w:eastAsia="zh-CN"/>
              </w:rPr>
              <w:t>产品</w:t>
            </w:r>
            <w:r>
              <w:rPr>
                <w:rFonts w:hint="eastAsia" w:ascii="宋体" w:hAnsi="宋体" w:eastAsia="宋体" w:cs="宋体"/>
                <w:sz w:val="21"/>
                <w:szCs w:val="21"/>
                <w:highlight w:val="none"/>
                <w:lang w:val="en-US" w:eastAsia="zh-CN"/>
              </w:rPr>
              <w:t>型式试验报告</w:t>
            </w:r>
          </w:p>
        </w:tc>
        <w:tc>
          <w:tcPr>
            <w:tcW w:w="1650" w:type="dxa"/>
            <w:tcBorders>
              <w:top w:val="outset" w:color="auto" w:sz="6" w:space="0"/>
              <w:left w:val="outset" w:color="auto" w:sz="6" w:space="0"/>
              <w:right w:val="outset" w:color="auto" w:sz="6" w:space="0"/>
            </w:tcBorders>
            <w:vAlign w:val="center"/>
          </w:tcPr>
          <w:p w14:paraId="14D7EA38">
            <w:pPr>
              <w:widowControl/>
              <w:spacing w:line="440" w:lineRule="exact"/>
              <w:jc w:val="center"/>
              <w:rPr>
                <w:rFonts w:hint="eastAsia" w:ascii="宋体" w:hAnsi="宋体" w:eastAsia="宋体" w:cs="宋体"/>
                <w:color w:val="0D0D0D" w:themeColor="text1" w:themeTint="F2"/>
                <w:kern w:val="0"/>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0"/>
                <w:sz w:val="21"/>
                <w:szCs w:val="21"/>
                <w:highlight w:val="none"/>
                <w14:textFill>
                  <w14:solidFill>
                    <w14:schemeClr w14:val="tx1">
                      <w14:lumMod w14:val="95000"/>
                      <w14:lumOff w14:val="5000"/>
                    </w14:schemeClr>
                  </w14:solidFill>
                </w14:textFill>
              </w:rPr>
              <w:t>真实有效</w:t>
            </w:r>
          </w:p>
        </w:tc>
      </w:tr>
      <w:tr w14:paraId="640947F1">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cantSplit/>
          <w:trHeight w:val="1220" w:hRule="atLeast"/>
          <w:tblCellSpacing w:w="0" w:type="dxa"/>
        </w:trPr>
        <w:tc>
          <w:tcPr>
            <w:tcW w:w="639" w:type="dxa"/>
            <w:tcBorders>
              <w:top w:val="outset" w:color="auto" w:sz="6" w:space="0"/>
              <w:left w:val="outset" w:color="auto" w:sz="6" w:space="0"/>
              <w:right w:val="outset" w:color="auto" w:sz="6" w:space="0"/>
            </w:tcBorders>
            <w:vAlign w:val="center"/>
          </w:tcPr>
          <w:p w14:paraId="1408CD95">
            <w:pPr>
              <w:widowControl/>
              <w:spacing w:line="440" w:lineRule="exact"/>
              <w:jc w:val="center"/>
              <w:rPr>
                <w:rFonts w:hint="eastAsia" w:ascii="宋体" w:hAnsi="宋体" w:eastAsia="宋体" w:cs="宋体"/>
                <w:color w:val="0D0D0D" w:themeColor="text1" w:themeTint="F2"/>
                <w:kern w:val="0"/>
                <w:sz w:val="21"/>
                <w:szCs w:val="21"/>
                <w:highlight w:val="none"/>
                <w:lang w:val="en-US" w:eastAsia="zh-CN"/>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0"/>
                <w:sz w:val="21"/>
                <w:szCs w:val="21"/>
                <w:highlight w:val="none"/>
                <w:lang w:val="en-US" w:eastAsia="zh-CN"/>
                <w14:textFill>
                  <w14:solidFill>
                    <w14:schemeClr w14:val="tx1">
                      <w14:lumMod w14:val="95000"/>
                      <w14:lumOff w14:val="5000"/>
                    </w14:schemeClr>
                  </w14:solidFill>
                </w14:textFill>
              </w:rPr>
              <w:t>5</w:t>
            </w:r>
          </w:p>
        </w:tc>
        <w:tc>
          <w:tcPr>
            <w:tcW w:w="2331" w:type="dxa"/>
            <w:tcBorders>
              <w:top w:val="outset" w:color="auto" w:sz="6" w:space="0"/>
              <w:left w:val="outset" w:color="auto" w:sz="6" w:space="0"/>
              <w:right w:val="outset" w:color="auto" w:sz="6" w:space="0"/>
            </w:tcBorders>
            <w:vAlign w:val="center"/>
          </w:tcPr>
          <w:p w14:paraId="243F1C96">
            <w:pPr>
              <w:widowControl/>
              <w:spacing w:line="440" w:lineRule="exact"/>
              <w:jc w:val="center"/>
              <w:rPr>
                <w:rFonts w:hint="eastAsia" w:ascii="宋体" w:hAnsi="宋体" w:eastAsia="宋体" w:cs="宋体"/>
                <w:color w:val="0D0D0D" w:themeColor="text1" w:themeTint="F2"/>
                <w:kern w:val="0"/>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0"/>
                <w:sz w:val="21"/>
                <w:szCs w:val="21"/>
                <w:highlight w:val="none"/>
                <w14:textFill>
                  <w14:solidFill>
                    <w14:schemeClr w14:val="tx1">
                      <w14:lumMod w14:val="95000"/>
                      <w14:lumOff w14:val="5000"/>
                    </w14:schemeClr>
                  </w14:solidFill>
                </w14:textFill>
              </w:rPr>
              <w:t>业绩证明</w:t>
            </w:r>
          </w:p>
        </w:tc>
        <w:tc>
          <w:tcPr>
            <w:tcW w:w="4980" w:type="dxa"/>
            <w:tcBorders>
              <w:top w:val="outset" w:color="auto" w:sz="6" w:space="0"/>
              <w:left w:val="outset" w:color="auto" w:sz="6" w:space="0"/>
              <w:right w:val="outset" w:color="auto" w:sz="6" w:space="0"/>
            </w:tcBorders>
            <w:vAlign w:val="center"/>
          </w:tcPr>
          <w:p w14:paraId="53141112">
            <w:pPr>
              <w:spacing w:line="400" w:lineRule="exact"/>
              <w:ind w:firstLine="420" w:firstLineChars="20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近三年(2022年1月1日以来，以签订合同时间为准)</w:t>
            </w:r>
            <w:r>
              <w:rPr>
                <w:rFonts w:hint="eastAsia" w:ascii="宋体" w:hAnsi="宋体" w:eastAsia="宋体" w:cs="宋体"/>
                <w:sz w:val="21"/>
                <w:szCs w:val="21"/>
                <w:highlight w:val="none"/>
                <w:lang w:val="en-US" w:eastAsia="zh-CN"/>
              </w:rPr>
              <w:t>谐波治理（含有源滤波器销售、安装、调试）</w:t>
            </w:r>
            <w:r>
              <w:rPr>
                <w:rFonts w:hint="eastAsia" w:ascii="宋体" w:hAnsi="宋体" w:eastAsia="宋体" w:cs="宋体"/>
                <w:sz w:val="21"/>
                <w:szCs w:val="21"/>
                <w:highlight w:val="none"/>
              </w:rPr>
              <w:t>类似项目业绩3个及以上(含3个，提供双方盖章合同)；</w:t>
            </w:r>
          </w:p>
        </w:tc>
        <w:tc>
          <w:tcPr>
            <w:tcW w:w="1650" w:type="dxa"/>
            <w:tcBorders>
              <w:top w:val="outset" w:color="auto" w:sz="6" w:space="0"/>
              <w:left w:val="outset" w:color="auto" w:sz="6" w:space="0"/>
              <w:right w:val="outset" w:color="auto" w:sz="6" w:space="0"/>
            </w:tcBorders>
            <w:vAlign w:val="center"/>
          </w:tcPr>
          <w:p w14:paraId="6FFD9D03">
            <w:pPr>
              <w:widowControl/>
              <w:spacing w:line="440" w:lineRule="exact"/>
              <w:jc w:val="center"/>
              <w:rPr>
                <w:rFonts w:hint="eastAsia" w:ascii="宋体" w:hAnsi="宋体" w:eastAsia="宋体" w:cs="宋体"/>
                <w:color w:val="0D0D0D" w:themeColor="text1" w:themeTint="F2"/>
                <w:kern w:val="0"/>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0"/>
                <w:sz w:val="21"/>
                <w:szCs w:val="21"/>
                <w:highlight w:val="none"/>
                <w14:textFill>
                  <w14:solidFill>
                    <w14:schemeClr w14:val="tx1">
                      <w14:lumMod w14:val="95000"/>
                      <w14:lumOff w14:val="5000"/>
                    </w14:schemeClr>
                  </w14:solidFill>
                </w14:textFill>
              </w:rPr>
              <w:t>真实有效</w:t>
            </w:r>
          </w:p>
        </w:tc>
      </w:tr>
      <w:tr w14:paraId="4D1EC35B">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cantSplit/>
          <w:trHeight w:val="577" w:hRule="atLeast"/>
          <w:tblCellSpacing w:w="0" w:type="dxa"/>
        </w:trPr>
        <w:tc>
          <w:tcPr>
            <w:tcW w:w="639" w:type="dxa"/>
            <w:tcBorders>
              <w:top w:val="outset" w:color="auto" w:sz="6" w:space="0"/>
              <w:left w:val="outset" w:color="auto" w:sz="6" w:space="0"/>
              <w:bottom w:val="outset" w:color="auto" w:sz="6" w:space="0"/>
              <w:right w:val="outset" w:color="auto" w:sz="6" w:space="0"/>
            </w:tcBorders>
            <w:vAlign w:val="center"/>
          </w:tcPr>
          <w:p w14:paraId="70A53B6D">
            <w:pPr>
              <w:widowControl/>
              <w:spacing w:line="440" w:lineRule="exact"/>
              <w:jc w:val="center"/>
              <w:rPr>
                <w:rFonts w:hint="eastAsia" w:ascii="宋体" w:hAnsi="宋体" w:eastAsia="宋体" w:cs="宋体"/>
                <w:color w:val="0D0D0D" w:themeColor="text1" w:themeTint="F2"/>
                <w:kern w:val="0"/>
                <w:sz w:val="21"/>
                <w:szCs w:val="21"/>
                <w:highlight w:val="none"/>
                <w:lang w:val="en-US" w:eastAsia="zh-CN"/>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0"/>
                <w:sz w:val="21"/>
                <w:szCs w:val="21"/>
                <w:highlight w:val="none"/>
                <w:lang w:val="en-US" w:eastAsia="zh-CN"/>
                <w14:textFill>
                  <w14:solidFill>
                    <w14:schemeClr w14:val="tx1">
                      <w14:lumMod w14:val="95000"/>
                      <w14:lumOff w14:val="5000"/>
                    </w14:schemeClr>
                  </w14:solidFill>
                </w14:textFill>
              </w:rPr>
              <w:t>6</w:t>
            </w:r>
          </w:p>
        </w:tc>
        <w:tc>
          <w:tcPr>
            <w:tcW w:w="2331" w:type="dxa"/>
            <w:tcBorders>
              <w:top w:val="outset" w:color="auto" w:sz="6" w:space="0"/>
              <w:left w:val="outset" w:color="auto" w:sz="6" w:space="0"/>
              <w:bottom w:val="outset" w:color="auto" w:sz="6" w:space="0"/>
              <w:right w:val="outset" w:color="auto" w:sz="6" w:space="0"/>
            </w:tcBorders>
            <w:vAlign w:val="center"/>
          </w:tcPr>
          <w:p w14:paraId="7FE254A9">
            <w:pPr>
              <w:widowControl/>
              <w:spacing w:line="440" w:lineRule="exact"/>
              <w:jc w:val="center"/>
              <w:rPr>
                <w:rFonts w:hint="eastAsia" w:ascii="宋体" w:hAnsi="宋体" w:eastAsia="宋体" w:cs="宋体"/>
                <w:color w:val="0D0D0D" w:themeColor="text1" w:themeTint="F2"/>
                <w:kern w:val="0"/>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授权委托人（如有）</w:t>
            </w:r>
            <w:r>
              <w:rPr>
                <w:rFonts w:hint="eastAsia" w:ascii="宋体" w:hAnsi="宋体" w:eastAsia="宋体" w:cs="宋体"/>
                <w:color w:val="0D0D0D" w:themeColor="text1" w:themeTint="F2"/>
                <w:sz w:val="21"/>
                <w:szCs w:val="21"/>
                <w:highlight w:val="none"/>
                <w:lang w:val="en-US" w:eastAsia="zh-CN"/>
                <w14:textFill>
                  <w14:solidFill>
                    <w14:schemeClr w14:val="tx1">
                      <w14:lumMod w14:val="95000"/>
                      <w14:lumOff w14:val="5000"/>
                    </w14:schemeClr>
                  </w14:solidFill>
                </w14:textFill>
              </w:rPr>
              <w:t xml:space="preserve">        </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劳动合同或社会保险</w:t>
            </w:r>
          </w:p>
        </w:tc>
        <w:tc>
          <w:tcPr>
            <w:tcW w:w="4980" w:type="dxa"/>
            <w:tcBorders>
              <w:top w:val="outset" w:color="auto" w:sz="6" w:space="0"/>
              <w:left w:val="outset" w:color="auto" w:sz="6" w:space="0"/>
              <w:bottom w:val="outset" w:color="auto" w:sz="6" w:space="0"/>
              <w:right w:val="outset" w:color="auto" w:sz="6" w:space="0"/>
            </w:tcBorders>
            <w:vAlign w:val="center"/>
          </w:tcPr>
          <w:p w14:paraId="7CC23BEA">
            <w:pPr>
              <w:widowControl/>
              <w:spacing w:line="440" w:lineRule="exact"/>
              <w:ind w:firstLine="420" w:firstLineChars="200"/>
              <w:jc w:val="left"/>
              <w:rPr>
                <w:rFonts w:hint="eastAsia" w:ascii="宋体" w:hAnsi="宋体" w:eastAsia="宋体" w:cs="宋体"/>
                <w:color w:val="0D0D0D" w:themeColor="text1" w:themeTint="F2"/>
                <w:kern w:val="0"/>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授权委托人（如有）与投标人签订的有效劳动合同或投标人为委托代理人缴纳的202</w:t>
            </w:r>
            <w:r>
              <w:rPr>
                <w:rFonts w:hint="eastAsia" w:ascii="宋体" w:hAnsi="宋体" w:cs="宋体"/>
                <w:color w:val="0D0D0D" w:themeColor="text1" w:themeTint="F2"/>
                <w:sz w:val="21"/>
                <w:szCs w:val="21"/>
                <w:highlight w:val="none"/>
                <w:lang w:val="en-US" w:eastAsia="zh-CN"/>
                <w14:textFill>
                  <w14:solidFill>
                    <w14:schemeClr w14:val="tx1">
                      <w14:lumMod w14:val="95000"/>
                      <w14:lumOff w14:val="5000"/>
                    </w14:schemeClr>
                  </w14:solidFill>
                </w14:textFill>
              </w:rPr>
              <w:t>5</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年</w:t>
            </w:r>
            <w:r>
              <w:rPr>
                <w:rFonts w:hint="eastAsia" w:ascii="宋体" w:hAnsi="宋体" w:cs="宋体"/>
                <w:color w:val="0D0D0D" w:themeColor="text1" w:themeTint="F2"/>
                <w:sz w:val="21"/>
                <w:szCs w:val="21"/>
                <w:highlight w:val="none"/>
                <w:lang w:val="en-US" w:eastAsia="zh-CN"/>
                <w14:textFill>
                  <w14:solidFill>
                    <w14:schemeClr w14:val="tx1">
                      <w14:lumMod w14:val="95000"/>
                      <w14:lumOff w14:val="5000"/>
                    </w14:schemeClr>
                  </w14:solidFill>
                </w14:textFill>
              </w:rPr>
              <w:t>3</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月至2025年</w:t>
            </w:r>
            <w:r>
              <w:rPr>
                <w:rFonts w:hint="eastAsia" w:ascii="宋体" w:hAnsi="宋体" w:cs="宋体"/>
                <w:color w:val="0D0D0D" w:themeColor="text1" w:themeTint="F2"/>
                <w:sz w:val="21"/>
                <w:szCs w:val="21"/>
                <w:highlight w:val="none"/>
                <w:lang w:val="en-US" w:eastAsia="zh-CN"/>
                <w14:textFill>
                  <w14:solidFill>
                    <w14:schemeClr w14:val="tx1">
                      <w14:lumMod w14:val="95000"/>
                      <w14:lumOff w14:val="5000"/>
                    </w14:schemeClr>
                  </w14:solidFill>
                </w14:textFill>
              </w:rPr>
              <w:t>5</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月任意1个月养老保险缴费证明复印件加盖单位公章（养老保险缴费证明需由社保机构出具）</w:t>
            </w:r>
          </w:p>
        </w:tc>
        <w:tc>
          <w:tcPr>
            <w:tcW w:w="1650" w:type="dxa"/>
            <w:tcBorders>
              <w:top w:val="outset" w:color="auto" w:sz="6" w:space="0"/>
              <w:left w:val="outset" w:color="auto" w:sz="6" w:space="0"/>
              <w:bottom w:val="outset" w:color="auto" w:sz="6" w:space="0"/>
              <w:right w:val="outset" w:color="auto" w:sz="6" w:space="0"/>
            </w:tcBorders>
            <w:vAlign w:val="center"/>
          </w:tcPr>
          <w:p w14:paraId="47389FDD">
            <w:pPr>
              <w:widowControl/>
              <w:spacing w:line="440" w:lineRule="exact"/>
              <w:jc w:val="cente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劳动合同书或养老保险缴费证明</w:t>
            </w:r>
          </w:p>
          <w:p w14:paraId="1189981B">
            <w:pPr>
              <w:widowControl/>
              <w:spacing w:line="440" w:lineRule="exact"/>
              <w:jc w:val="center"/>
              <w:rPr>
                <w:rFonts w:hint="eastAsia" w:ascii="宋体" w:hAnsi="宋体" w:eastAsia="宋体" w:cs="宋体"/>
                <w:color w:val="0D0D0D" w:themeColor="text1" w:themeTint="F2"/>
                <w:kern w:val="0"/>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企业法定代表人参加，此项不需提供</w:t>
            </w:r>
          </w:p>
        </w:tc>
      </w:tr>
      <w:tr w14:paraId="0629DE84">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cantSplit/>
          <w:trHeight w:val="680" w:hRule="atLeast"/>
          <w:tblCellSpacing w:w="0" w:type="dxa"/>
        </w:trPr>
        <w:tc>
          <w:tcPr>
            <w:tcW w:w="639" w:type="dxa"/>
            <w:tcBorders>
              <w:top w:val="outset" w:color="auto" w:sz="6" w:space="0"/>
              <w:left w:val="outset" w:color="auto" w:sz="6" w:space="0"/>
              <w:bottom w:val="outset" w:color="auto" w:sz="6" w:space="0"/>
              <w:right w:val="outset" w:color="auto" w:sz="6" w:space="0"/>
            </w:tcBorders>
            <w:vAlign w:val="center"/>
          </w:tcPr>
          <w:p w14:paraId="316A3A00">
            <w:pPr>
              <w:widowControl/>
              <w:spacing w:line="440" w:lineRule="exact"/>
              <w:jc w:val="center"/>
              <w:rPr>
                <w:rFonts w:hint="eastAsia" w:ascii="宋体" w:hAnsi="宋体" w:eastAsia="宋体" w:cs="宋体"/>
                <w:color w:val="0D0D0D" w:themeColor="text1" w:themeTint="F2"/>
                <w:kern w:val="0"/>
                <w:sz w:val="21"/>
                <w:szCs w:val="21"/>
                <w:highlight w:val="none"/>
                <w:lang w:val="en-US" w:eastAsia="zh-CN"/>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0"/>
                <w:sz w:val="21"/>
                <w:szCs w:val="21"/>
                <w:highlight w:val="none"/>
                <w:lang w:val="en-US" w:eastAsia="zh-CN"/>
                <w14:textFill>
                  <w14:solidFill>
                    <w14:schemeClr w14:val="tx1">
                      <w14:lumMod w14:val="95000"/>
                      <w14:lumOff w14:val="5000"/>
                    </w14:schemeClr>
                  </w14:solidFill>
                </w14:textFill>
              </w:rPr>
              <w:t>7</w:t>
            </w:r>
          </w:p>
        </w:tc>
        <w:tc>
          <w:tcPr>
            <w:tcW w:w="2331" w:type="dxa"/>
            <w:tcBorders>
              <w:top w:val="outset" w:color="auto" w:sz="6" w:space="0"/>
              <w:left w:val="outset" w:color="auto" w:sz="6" w:space="0"/>
              <w:bottom w:val="outset" w:color="auto" w:sz="6" w:space="0"/>
              <w:right w:val="outset" w:color="auto" w:sz="6" w:space="0"/>
            </w:tcBorders>
            <w:vAlign w:val="center"/>
          </w:tcPr>
          <w:p w14:paraId="0C5E3540">
            <w:pPr>
              <w:spacing w:line="440" w:lineRule="exact"/>
              <w:jc w:val="cente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0"/>
                <w:sz w:val="21"/>
                <w:szCs w:val="21"/>
                <w:highlight w:val="none"/>
                <w:shd w:val="clear" w:color="auto" w:fill="FFFFFF"/>
                <w14:textFill>
                  <w14:solidFill>
                    <w14:schemeClr w14:val="tx1">
                      <w14:lumMod w14:val="95000"/>
                      <w14:lumOff w14:val="5000"/>
                    </w14:schemeClr>
                  </w14:solidFill>
                </w14:textFill>
              </w:rPr>
              <w:t>投标声明函</w:t>
            </w:r>
          </w:p>
        </w:tc>
        <w:tc>
          <w:tcPr>
            <w:tcW w:w="4980" w:type="dxa"/>
            <w:tcBorders>
              <w:top w:val="outset" w:color="auto" w:sz="6" w:space="0"/>
              <w:left w:val="outset" w:color="auto" w:sz="6" w:space="0"/>
              <w:bottom w:val="outset" w:color="auto" w:sz="6" w:space="0"/>
              <w:right w:val="outset" w:color="auto" w:sz="6" w:space="0"/>
            </w:tcBorders>
            <w:vAlign w:val="center"/>
          </w:tcPr>
          <w:p w14:paraId="11E6C04E">
            <w:pPr>
              <w:spacing w:line="440" w:lineRule="exact"/>
              <w:ind w:firstLine="420" w:firstLineChars="200"/>
              <w:jc w:val="left"/>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格式详见第五章投标文件格式</w:t>
            </w:r>
          </w:p>
        </w:tc>
        <w:tc>
          <w:tcPr>
            <w:tcW w:w="1650" w:type="dxa"/>
            <w:tcBorders>
              <w:top w:val="outset" w:color="auto" w:sz="6" w:space="0"/>
              <w:left w:val="outset" w:color="auto" w:sz="6" w:space="0"/>
              <w:bottom w:val="outset" w:color="auto" w:sz="6" w:space="0"/>
              <w:right w:val="outset" w:color="auto" w:sz="6" w:space="0"/>
            </w:tcBorders>
            <w:vAlign w:val="center"/>
          </w:tcPr>
          <w:p w14:paraId="671E03F6">
            <w:pPr>
              <w:widowControl/>
              <w:spacing w:line="440" w:lineRule="exact"/>
              <w:jc w:val="cente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检查有效性</w:t>
            </w:r>
          </w:p>
        </w:tc>
      </w:tr>
      <w:tr w14:paraId="20E23A83">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cantSplit/>
          <w:trHeight w:val="710" w:hRule="atLeast"/>
          <w:tblCellSpacing w:w="0" w:type="dxa"/>
        </w:trPr>
        <w:tc>
          <w:tcPr>
            <w:tcW w:w="639" w:type="dxa"/>
            <w:tcBorders>
              <w:top w:val="outset" w:color="auto" w:sz="6" w:space="0"/>
              <w:left w:val="outset" w:color="auto" w:sz="6" w:space="0"/>
              <w:bottom w:val="outset" w:color="ACA899" w:sz="6" w:space="0"/>
              <w:right w:val="outset" w:color="auto" w:sz="6" w:space="0"/>
            </w:tcBorders>
            <w:vAlign w:val="center"/>
          </w:tcPr>
          <w:p w14:paraId="2D0C6B7C">
            <w:pPr>
              <w:spacing w:line="440" w:lineRule="exact"/>
              <w:jc w:val="center"/>
              <w:rPr>
                <w:rFonts w:hint="eastAsia" w:ascii="宋体" w:hAnsi="宋体" w:eastAsia="宋体" w:cs="宋体"/>
                <w:color w:val="0D0D0D" w:themeColor="text1" w:themeTint="F2"/>
                <w:kern w:val="0"/>
                <w:sz w:val="21"/>
                <w:szCs w:val="21"/>
                <w:highlight w:val="none"/>
                <w:lang w:val="en-US" w:eastAsia="zh-CN"/>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0"/>
                <w:sz w:val="21"/>
                <w:szCs w:val="21"/>
                <w:highlight w:val="none"/>
                <w:lang w:val="en-US" w:eastAsia="zh-CN"/>
                <w14:textFill>
                  <w14:solidFill>
                    <w14:schemeClr w14:val="tx1">
                      <w14:lumMod w14:val="95000"/>
                      <w14:lumOff w14:val="5000"/>
                    </w14:schemeClr>
                  </w14:solidFill>
                </w14:textFill>
              </w:rPr>
              <w:t>8</w:t>
            </w:r>
          </w:p>
        </w:tc>
        <w:tc>
          <w:tcPr>
            <w:tcW w:w="8961" w:type="dxa"/>
            <w:gridSpan w:val="3"/>
            <w:tcBorders>
              <w:top w:val="outset" w:color="auto" w:sz="6" w:space="0"/>
              <w:left w:val="outset" w:color="auto" w:sz="6" w:space="0"/>
              <w:bottom w:val="outset" w:color="ACA899" w:sz="6" w:space="0"/>
              <w:right w:val="outset" w:color="auto" w:sz="6" w:space="0"/>
            </w:tcBorders>
            <w:vAlign w:val="center"/>
          </w:tcPr>
          <w:p w14:paraId="3CC164A6">
            <w:pPr>
              <w:spacing w:line="440" w:lineRule="exact"/>
              <w:jc w:val="center"/>
              <w:rPr>
                <w:rFonts w:hint="eastAsia" w:ascii="宋体" w:hAnsi="宋体" w:eastAsia="宋体" w:cs="宋体"/>
                <w:b/>
                <w:color w:val="0D0D0D" w:themeColor="text1" w:themeTint="F2"/>
                <w:kern w:val="0"/>
                <w:sz w:val="21"/>
                <w:szCs w:val="21"/>
                <w:highlight w:val="none"/>
                <w14:textFill>
                  <w14:solidFill>
                    <w14:schemeClr w14:val="tx1">
                      <w14:lumMod w14:val="95000"/>
                      <w14:lumOff w14:val="5000"/>
                    </w14:schemeClr>
                  </w14:solidFill>
                </w14:textFill>
              </w:rPr>
            </w:pPr>
            <w:r>
              <w:rPr>
                <w:rFonts w:hint="eastAsia" w:ascii="宋体" w:hAnsi="宋体" w:eastAsia="宋体" w:cs="宋体"/>
                <w:b/>
                <w:color w:val="0D0D0D" w:themeColor="text1" w:themeTint="F2"/>
                <w:kern w:val="0"/>
                <w:sz w:val="21"/>
                <w:szCs w:val="21"/>
                <w:highlight w:val="none"/>
                <w14:textFill>
                  <w14:solidFill>
                    <w14:schemeClr w14:val="tx1">
                      <w14:lumMod w14:val="95000"/>
                      <w14:lumOff w14:val="5000"/>
                    </w14:schemeClr>
                  </w14:solidFill>
                </w14:textFill>
              </w:rPr>
              <w:t>备注：上述（1）～（</w:t>
            </w:r>
            <w:r>
              <w:rPr>
                <w:rFonts w:hint="eastAsia" w:ascii="宋体" w:hAnsi="宋体" w:eastAsia="宋体" w:cs="宋体"/>
                <w:b/>
                <w:color w:val="0D0D0D" w:themeColor="text1" w:themeTint="F2"/>
                <w:kern w:val="0"/>
                <w:sz w:val="21"/>
                <w:szCs w:val="21"/>
                <w:highlight w:val="none"/>
                <w:lang w:val="en-US" w:eastAsia="zh-CN"/>
                <w14:textFill>
                  <w14:solidFill>
                    <w14:schemeClr w14:val="tx1">
                      <w14:lumMod w14:val="95000"/>
                      <w14:lumOff w14:val="5000"/>
                    </w14:schemeClr>
                  </w14:solidFill>
                </w14:textFill>
              </w:rPr>
              <w:t>7</w:t>
            </w:r>
            <w:r>
              <w:rPr>
                <w:rFonts w:hint="eastAsia" w:ascii="宋体" w:hAnsi="宋体" w:eastAsia="宋体" w:cs="宋体"/>
                <w:b/>
                <w:color w:val="0D0D0D" w:themeColor="text1" w:themeTint="F2"/>
                <w:kern w:val="0"/>
                <w:sz w:val="21"/>
                <w:szCs w:val="21"/>
                <w:highlight w:val="none"/>
                <w14:textFill>
                  <w14:solidFill>
                    <w14:schemeClr w14:val="tx1">
                      <w14:lumMod w14:val="95000"/>
                      <w14:lumOff w14:val="5000"/>
                    </w14:schemeClr>
                  </w14:solidFill>
                </w14:textFill>
              </w:rPr>
              <w:t>）中任何一条不符合要求 ，则资格审查不通过。</w:t>
            </w:r>
          </w:p>
        </w:tc>
      </w:tr>
    </w:tbl>
    <w:p w14:paraId="559C9CFC">
      <w:pPr>
        <w:pStyle w:val="60"/>
        <w:spacing w:line="440" w:lineRule="exact"/>
        <w:ind w:firstLine="473"/>
        <w:rPr>
          <w:rFonts w:hint="eastAsia" w:ascii="宋体" w:hAnsi="宋体" w:eastAsia="宋体" w:cs="宋体"/>
          <w:b/>
          <w:bCs/>
          <w:sz w:val="24"/>
          <w:szCs w:val="24"/>
          <w:highlight w:val="none"/>
        </w:rPr>
      </w:pPr>
      <w:r>
        <w:rPr>
          <w:rFonts w:hint="eastAsia" w:ascii="宋体" w:hAnsi="宋体" w:eastAsia="宋体" w:cs="宋体"/>
          <w:b/>
          <w:bCs/>
          <w:sz w:val="24"/>
          <w:szCs w:val="24"/>
          <w:highlight w:val="none"/>
          <w:lang w:eastAsia="zh-CN"/>
        </w:rPr>
        <w:t>（</w:t>
      </w:r>
      <w:r>
        <w:rPr>
          <w:rFonts w:hint="eastAsia" w:ascii="宋体" w:hAnsi="宋体" w:eastAsia="宋体" w:cs="宋体"/>
          <w:b/>
          <w:bCs/>
          <w:sz w:val="24"/>
          <w:szCs w:val="24"/>
          <w:highlight w:val="none"/>
          <w:lang w:val="en-US" w:eastAsia="zh-CN"/>
        </w:rPr>
        <w:t>二</w:t>
      </w:r>
      <w:r>
        <w:rPr>
          <w:rFonts w:hint="eastAsia" w:ascii="宋体" w:hAnsi="宋体" w:eastAsia="宋体" w:cs="宋体"/>
          <w:b/>
          <w:bCs/>
          <w:sz w:val="24"/>
          <w:szCs w:val="24"/>
          <w:highlight w:val="none"/>
          <w:lang w:eastAsia="zh-CN"/>
        </w:rPr>
        <w:t>）</w:t>
      </w:r>
      <w:r>
        <w:rPr>
          <w:rFonts w:hint="eastAsia" w:ascii="宋体" w:hAnsi="宋体" w:eastAsia="宋体" w:cs="宋体"/>
          <w:b/>
          <w:bCs/>
          <w:sz w:val="24"/>
          <w:szCs w:val="24"/>
          <w:highlight w:val="none"/>
        </w:rPr>
        <w:t>评分细则</w:t>
      </w:r>
    </w:p>
    <w:p w14:paraId="66DB3C4F">
      <w:pPr>
        <w:spacing w:line="4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评标办法：本次招标采用最低</w:t>
      </w:r>
      <w:r>
        <w:rPr>
          <w:rFonts w:hint="eastAsia" w:ascii="宋体" w:hAnsi="宋体" w:cs="宋体"/>
          <w:sz w:val="24"/>
          <w:szCs w:val="24"/>
          <w:highlight w:val="none"/>
          <w:lang w:eastAsia="zh-CN"/>
        </w:rPr>
        <w:t>评</w:t>
      </w:r>
      <w:r>
        <w:rPr>
          <w:rFonts w:hint="eastAsia" w:ascii="宋体" w:hAnsi="宋体" w:eastAsia="宋体" w:cs="宋体"/>
          <w:sz w:val="24"/>
          <w:szCs w:val="24"/>
          <w:highlight w:val="none"/>
        </w:rPr>
        <w:t>标价法，满足招标文件要求且有效投标报价最低的投标人为第一中标候选人。经评审投标报价相同的，通过抽签方式确定第一中标候选人。</w:t>
      </w:r>
    </w:p>
    <w:p w14:paraId="0417CA1F">
      <w:pPr>
        <w:keepNext w:val="0"/>
        <w:keepLines w:val="0"/>
        <w:pageBreakBefore w:val="0"/>
        <w:widowControl w:val="0"/>
        <w:kinsoku/>
        <w:wordWrap/>
        <w:overflowPunct/>
        <w:topLinePunct w:val="0"/>
        <w:autoSpaceDE/>
        <w:autoSpaceDN/>
        <w:bidi w:val="0"/>
        <w:adjustRightInd/>
        <w:snapToGrid/>
        <w:spacing w:before="157" w:beforeLines="50" w:line="440" w:lineRule="exact"/>
        <w:ind w:firstLine="482"/>
        <w:textAlignment w:val="auto"/>
        <w:rPr>
          <w:rFonts w:hint="eastAsia" w:ascii="宋体" w:hAnsi="宋体" w:eastAsia="宋体" w:cs="宋体"/>
          <w:b/>
          <w:bCs/>
          <w:color w:val="000000"/>
          <w:sz w:val="24"/>
          <w:szCs w:val="24"/>
          <w:highlight w:val="none"/>
        </w:rPr>
      </w:pPr>
      <w:r>
        <w:rPr>
          <w:rFonts w:hint="eastAsia" w:ascii="宋体" w:hAnsi="宋体" w:eastAsia="宋体" w:cs="宋体"/>
          <w:b/>
          <w:bCs/>
          <w:sz w:val="24"/>
          <w:szCs w:val="24"/>
          <w:highlight w:val="none"/>
          <w:lang w:val="en-US" w:eastAsia="zh-CN"/>
        </w:rPr>
        <w:t>（三）</w:t>
      </w:r>
      <w:r>
        <w:rPr>
          <w:rFonts w:hint="eastAsia" w:ascii="宋体" w:hAnsi="宋体" w:eastAsia="宋体" w:cs="宋体"/>
          <w:b/>
          <w:bCs/>
          <w:color w:val="000000"/>
          <w:sz w:val="24"/>
          <w:szCs w:val="24"/>
          <w:highlight w:val="none"/>
        </w:rPr>
        <w:t>定标原则</w:t>
      </w:r>
    </w:p>
    <w:p w14:paraId="6BF318A5">
      <w:pPr>
        <w:spacing w:line="4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rPr>
        <w:t>评标委员会将向招标人推荐报价最低的前三名投标人为中标候选人，并标明排列顺序；</w:t>
      </w:r>
    </w:p>
    <w:p w14:paraId="695E4BBA">
      <w:pPr>
        <w:spacing w:line="4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rPr>
        <w:t xml:space="preserve">由招标人根据中标候选人排序确定第一中标候选人为中标人。 </w:t>
      </w:r>
    </w:p>
    <w:p w14:paraId="1F22B237">
      <w:pPr>
        <w:spacing w:line="4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rPr>
        <w:t>排名第一的中标候选人放弃中标、因不可抗力不能履行合同、不按照招标文件要求提交履约保证金，或者被查实存在影响中标结果的违法行为等情形，不符合中标条件的，招标人可以按照评标委员会提出的中标候选人名单排序依次确定其他中标候选人为中标人，也可以重新招标。</w:t>
      </w:r>
    </w:p>
    <w:p w14:paraId="367CAA95">
      <w:pPr>
        <w:spacing w:line="4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rPr>
        <w:t>中标单位在取得《中标通知书》后，在中标通知书规定的时间内，凭中标通知书由法定代表人或授权委托人前往招标方签订合同。</w:t>
      </w:r>
    </w:p>
    <w:p w14:paraId="7647C56D">
      <w:pPr>
        <w:spacing w:line="360" w:lineRule="exact"/>
        <w:ind w:firstLine="482"/>
        <w:rPr>
          <w:rFonts w:hint="eastAsia" w:ascii="宋体" w:hAnsi="宋体" w:eastAsia="宋体" w:cs="宋体"/>
          <w:sz w:val="24"/>
          <w:szCs w:val="24"/>
          <w:highlight w:val="none"/>
        </w:rPr>
      </w:pPr>
    </w:p>
    <w:p w14:paraId="50F41E7C">
      <w:pPr>
        <w:spacing w:line="360" w:lineRule="auto"/>
        <w:jc w:val="center"/>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br w:type="page"/>
      </w:r>
      <w:r>
        <w:rPr>
          <w:rFonts w:hint="eastAsia" w:ascii="宋体" w:hAnsi="宋体" w:eastAsia="宋体" w:cs="宋体"/>
          <w:b/>
          <w:bCs/>
          <w:color w:val="0D0D0D" w:themeColor="text1" w:themeTint="F2"/>
          <w:sz w:val="36"/>
          <w:szCs w:val="36"/>
          <w:highlight w:val="none"/>
          <w:lang w:val="en-US" w:eastAsia="zh-CN"/>
          <w14:textFill>
            <w14:solidFill>
              <w14:schemeClr w14:val="tx1">
                <w14:lumMod w14:val="95000"/>
                <w14:lumOff w14:val="5000"/>
              </w14:schemeClr>
            </w14:solidFill>
          </w14:textFill>
        </w:rPr>
        <w:t xml:space="preserve"> </w:t>
      </w:r>
      <w:r>
        <w:rPr>
          <w:rFonts w:hint="eastAsia" w:ascii="宋体" w:hAnsi="宋体" w:eastAsia="宋体" w:cs="宋体"/>
          <w:b/>
          <w:bCs/>
          <w:color w:val="0D0D0D" w:themeColor="text1" w:themeTint="F2"/>
          <w:sz w:val="36"/>
          <w:szCs w:val="36"/>
          <w:highlight w:val="none"/>
          <w14:textFill>
            <w14:solidFill>
              <w14:schemeClr w14:val="tx1">
                <w14:lumMod w14:val="95000"/>
                <w14:lumOff w14:val="5000"/>
              </w14:schemeClr>
            </w14:solidFill>
          </w14:textFill>
        </w:rPr>
        <w:t>第四章　合同条款</w:t>
      </w:r>
    </w:p>
    <w:p w14:paraId="216289FB">
      <w:pPr>
        <w:pStyle w:val="49"/>
        <w:ind w:left="542" w:hanging="542"/>
        <w:jc w:val="center"/>
        <w:rPr>
          <w:rFonts w:hint="eastAsia" w:ascii="宋体" w:hAnsi="宋体" w:eastAsia="宋体" w:cs="宋体"/>
          <w:b/>
          <w:sz w:val="24"/>
          <w:szCs w:val="24"/>
          <w:highlight w:val="none"/>
          <w:lang w:val="en-US" w:eastAsia="zh-CN"/>
        </w:rPr>
      </w:pPr>
    </w:p>
    <w:p w14:paraId="164ED846">
      <w:pPr>
        <w:pStyle w:val="49"/>
        <w:ind w:left="542" w:hanging="542"/>
        <w:jc w:val="center"/>
        <w:rPr>
          <w:rFonts w:hint="eastAsia" w:ascii="宋体" w:hAnsi="宋体" w:eastAsia="宋体" w:cs="宋体"/>
          <w:b/>
          <w:sz w:val="24"/>
          <w:szCs w:val="24"/>
          <w:highlight w:val="none"/>
          <w:lang w:val="en-US" w:eastAsia="zh-CN"/>
        </w:rPr>
      </w:pPr>
    </w:p>
    <w:p w14:paraId="5B6A2E17">
      <w:pPr>
        <w:pStyle w:val="49"/>
        <w:ind w:left="542" w:hanging="542"/>
        <w:jc w:val="center"/>
        <w:rPr>
          <w:rFonts w:hint="eastAsia" w:ascii="宋体" w:hAnsi="宋体" w:eastAsia="宋体" w:cs="宋体"/>
          <w:b/>
          <w:sz w:val="48"/>
          <w:szCs w:val="48"/>
          <w:highlight w:val="none"/>
          <w:lang w:val="en-US" w:eastAsia="zh-CN"/>
        </w:rPr>
      </w:pPr>
      <w:r>
        <w:rPr>
          <w:rFonts w:hint="eastAsia" w:ascii="宋体" w:hAnsi="宋体" w:eastAsia="宋体" w:cs="宋体"/>
          <w:b/>
          <w:sz w:val="48"/>
          <w:szCs w:val="48"/>
          <w:highlight w:val="none"/>
          <w:lang w:val="en-US" w:eastAsia="zh-CN"/>
        </w:rPr>
        <w:t>南通市通州区水务有限公司</w:t>
      </w:r>
    </w:p>
    <w:p w14:paraId="258A93D4">
      <w:pPr>
        <w:pStyle w:val="49"/>
        <w:ind w:left="542" w:hanging="542"/>
        <w:jc w:val="center"/>
        <w:rPr>
          <w:rFonts w:hint="eastAsia" w:ascii="宋体" w:hAnsi="宋体" w:eastAsia="宋体" w:cs="宋体"/>
          <w:b/>
          <w:sz w:val="48"/>
          <w:szCs w:val="48"/>
          <w:highlight w:val="none"/>
        </w:rPr>
      </w:pPr>
      <w:r>
        <w:rPr>
          <w:rFonts w:hint="eastAsia" w:ascii="宋体" w:hAnsi="宋体" w:eastAsia="宋体" w:cs="宋体"/>
          <w:b/>
          <w:sz w:val="48"/>
          <w:szCs w:val="48"/>
          <w:highlight w:val="none"/>
          <w:lang w:val="en-US" w:eastAsia="zh-CN"/>
        </w:rPr>
        <w:t>0.4KV有源滤波器成套设备采购及安装</w:t>
      </w:r>
      <w:r>
        <w:rPr>
          <w:rFonts w:hint="eastAsia" w:ascii="宋体" w:hAnsi="宋体" w:eastAsia="宋体" w:cs="宋体"/>
          <w:b/>
          <w:sz w:val="48"/>
          <w:szCs w:val="48"/>
          <w:highlight w:val="none"/>
        </w:rPr>
        <w:t>项目</w:t>
      </w:r>
    </w:p>
    <w:p w14:paraId="4D22F543">
      <w:pPr>
        <w:pStyle w:val="49"/>
        <w:ind w:left="542" w:hanging="542"/>
        <w:jc w:val="center"/>
        <w:rPr>
          <w:rFonts w:hint="eastAsia" w:ascii="宋体" w:hAnsi="宋体" w:eastAsia="宋体" w:cs="宋体"/>
          <w:b/>
          <w:sz w:val="48"/>
          <w:szCs w:val="48"/>
          <w:highlight w:val="none"/>
        </w:rPr>
      </w:pPr>
    </w:p>
    <w:p w14:paraId="1E7A400E">
      <w:pPr>
        <w:pStyle w:val="49"/>
        <w:ind w:left="542" w:hanging="542"/>
        <w:jc w:val="center"/>
        <w:rPr>
          <w:rFonts w:hint="eastAsia" w:ascii="宋体" w:hAnsi="宋体" w:eastAsia="宋体" w:cs="宋体"/>
          <w:b/>
          <w:sz w:val="72"/>
          <w:szCs w:val="72"/>
          <w:highlight w:val="none"/>
        </w:rPr>
      </w:pPr>
    </w:p>
    <w:p w14:paraId="42501138">
      <w:pPr>
        <w:pStyle w:val="49"/>
        <w:ind w:left="634" w:hanging="634"/>
        <w:jc w:val="center"/>
        <w:rPr>
          <w:rFonts w:hint="eastAsia" w:ascii="宋体" w:hAnsi="宋体" w:eastAsia="宋体" w:cs="宋体"/>
          <w:b/>
          <w:bCs/>
          <w:w w:val="96"/>
          <w:sz w:val="72"/>
          <w:szCs w:val="72"/>
          <w:highlight w:val="none"/>
        </w:rPr>
      </w:pPr>
      <w:r>
        <w:rPr>
          <w:rFonts w:hint="eastAsia" w:ascii="宋体" w:hAnsi="宋体" w:eastAsia="宋体" w:cs="宋体"/>
          <w:b/>
          <w:bCs/>
          <w:w w:val="96"/>
          <w:sz w:val="72"/>
          <w:szCs w:val="72"/>
          <w:highlight w:val="none"/>
        </w:rPr>
        <w:t>合</w:t>
      </w:r>
    </w:p>
    <w:p w14:paraId="65976BD4">
      <w:pPr>
        <w:pStyle w:val="49"/>
        <w:ind w:left="634" w:hanging="634"/>
        <w:jc w:val="center"/>
        <w:rPr>
          <w:rFonts w:hint="eastAsia" w:ascii="宋体" w:hAnsi="宋体" w:eastAsia="宋体" w:cs="宋体"/>
          <w:b/>
          <w:bCs/>
          <w:w w:val="96"/>
          <w:sz w:val="72"/>
          <w:szCs w:val="72"/>
          <w:highlight w:val="none"/>
        </w:rPr>
      </w:pPr>
    </w:p>
    <w:p w14:paraId="137D9510">
      <w:pPr>
        <w:pStyle w:val="49"/>
        <w:ind w:left="634" w:hanging="634"/>
        <w:jc w:val="center"/>
        <w:rPr>
          <w:rFonts w:hint="eastAsia" w:ascii="宋体" w:hAnsi="宋体" w:eastAsia="宋体" w:cs="宋体"/>
          <w:b/>
          <w:bCs/>
          <w:w w:val="96"/>
          <w:sz w:val="72"/>
          <w:szCs w:val="72"/>
          <w:highlight w:val="none"/>
        </w:rPr>
      </w:pPr>
      <w:r>
        <w:rPr>
          <w:rFonts w:hint="eastAsia" w:ascii="宋体" w:hAnsi="宋体" w:eastAsia="宋体" w:cs="宋体"/>
          <w:b/>
          <w:bCs/>
          <w:w w:val="96"/>
          <w:sz w:val="72"/>
          <w:szCs w:val="72"/>
          <w:highlight w:val="none"/>
        </w:rPr>
        <w:t>同</w:t>
      </w:r>
    </w:p>
    <w:p w14:paraId="16CA32DC">
      <w:pPr>
        <w:pStyle w:val="49"/>
        <w:ind w:left="634" w:hanging="634"/>
        <w:jc w:val="center"/>
        <w:rPr>
          <w:rFonts w:hint="eastAsia" w:ascii="宋体" w:hAnsi="宋体" w:eastAsia="宋体" w:cs="宋体"/>
          <w:b/>
          <w:bCs/>
          <w:w w:val="96"/>
          <w:sz w:val="72"/>
          <w:szCs w:val="72"/>
          <w:highlight w:val="none"/>
        </w:rPr>
      </w:pPr>
    </w:p>
    <w:p w14:paraId="5BCE85E3">
      <w:pPr>
        <w:pStyle w:val="49"/>
        <w:ind w:left="634" w:hanging="634"/>
        <w:jc w:val="center"/>
        <w:rPr>
          <w:rFonts w:hint="eastAsia" w:ascii="宋体" w:hAnsi="宋体" w:eastAsia="宋体" w:cs="宋体"/>
          <w:b/>
          <w:bCs/>
          <w:w w:val="96"/>
          <w:sz w:val="72"/>
          <w:szCs w:val="72"/>
          <w:highlight w:val="none"/>
        </w:rPr>
      </w:pPr>
      <w:r>
        <w:rPr>
          <w:rFonts w:hint="eastAsia" w:ascii="宋体" w:hAnsi="宋体" w:eastAsia="宋体" w:cs="宋体"/>
          <w:b/>
          <w:bCs/>
          <w:w w:val="96"/>
          <w:sz w:val="72"/>
          <w:szCs w:val="72"/>
          <w:highlight w:val="none"/>
        </w:rPr>
        <w:t>书</w:t>
      </w:r>
    </w:p>
    <w:p w14:paraId="0123A6ED">
      <w:pPr>
        <w:pStyle w:val="49"/>
        <w:ind w:left="540" w:hanging="540"/>
        <w:jc w:val="center"/>
        <w:rPr>
          <w:rFonts w:hint="eastAsia" w:ascii="宋体" w:hAnsi="宋体" w:eastAsia="宋体" w:cs="宋体"/>
          <w:sz w:val="24"/>
          <w:szCs w:val="24"/>
          <w:highlight w:val="none"/>
        </w:rPr>
      </w:pPr>
    </w:p>
    <w:p w14:paraId="45C83497">
      <w:pPr>
        <w:pStyle w:val="49"/>
        <w:ind w:left="540" w:hanging="540"/>
        <w:jc w:val="center"/>
        <w:rPr>
          <w:rFonts w:hint="eastAsia" w:ascii="宋体" w:hAnsi="宋体" w:eastAsia="宋体" w:cs="宋体"/>
          <w:sz w:val="24"/>
          <w:szCs w:val="24"/>
          <w:highlight w:val="none"/>
        </w:rPr>
      </w:pPr>
    </w:p>
    <w:p w14:paraId="765BFAD8">
      <w:pPr>
        <w:pStyle w:val="49"/>
        <w:ind w:left="540" w:hanging="540"/>
        <w:jc w:val="center"/>
        <w:rPr>
          <w:rFonts w:hint="eastAsia" w:ascii="宋体" w:hAnsi="宋体" w:eastAsia="宋体" w:cs="宋体"/>
          <w:sz w:val="24"/>
          <w:szCs w:val="24"/>
          <w:highlight w:val="none"/>
        </w:rPr>
      </w:pPr>
    </w:p>
    <w:p w14:paraId="22E7DB9C">
      <w:pPr>
        <w:pStyle w:val="49"/>
        <w:ind w:left="0" w:firstLine="0" w:firstLineChars="0"/>
        <w:rPr>
          <w:rFonts w:hint="eastAsia" w:ascii="宋体" w:hAnsi="宋体" w:eastAsia="宋体" w:cs="宋体"/>
          <w:sz w:val="24"/>
          <w:szCs w:val="24"/>
          <w:highlight w:val="none"/>
        </w:rPr>
      </w:pPr>
    </w:p>
    <w:p w14:paraId="48DEEBA6">
      <w:pPr>
        <w:pStyle w:val="49"/>
        <w:ind w:left="0" w:firstLine="1035" w:firstLineChars="345"/>
        <w:rPr>
          <w:rFonts w:hint="eastAsia" w:ascii="宋体" w:hAnsi="宋体" w:eastAsia="宋体" w:cs="宋体"/>
          <w:b w:val="0"/>
          <w:bCs/>
          <w:sz w:val="30"/>
          <w:szCs w:val="30"/>
          <w:highlight w:val="none"/>
        </w:rPr>
      </w:pPr>
      <w:r>
        <w:rPr>
          <w:rFonts w:hint="eastAsia" w:ascii="宋体" w:hAnsi="宋体" w:eastAsia="宋体" w:cs="宋体"/>
          <w:b w:val="0"/>
          <w:bCs/>
          <w:sz w:val="30"/>
          <w:szCs w:val="30"/>
          <w:highlight w:val="none"/>
        </w:rPr>
        <w:t>买</w:t>
      </w:r>
      <w:r>
        <w:rPr>
          <w:rFonts w:hint="eastAsia" w:ascii="宋体" w:hAnsi="宋体" w:eastAsia="宋体" w:cs="宋体"/>
          <w:b w:val="0"/>
          <w:bCs/>
          <w:sz w:val="30"/>
          <w:szCs w:val="30"/>
          <w:highlight w:val="none"/>
          <w:lang w:val="en-US" w:eastAsia="zh-CN"/>
        </w:rPr>
        <w:t xml:space="preserve">    </w:t>
      </w:r>
      <w:r>
        <w:rPr>
          <w:rFonts w:hint="eastAsia" w:ascii="宋体" w:hAnsi="宋体" w:eastAsia="宋体" w:cs="宋体"/>
          <w:b w:val="0"/>
          <w:bCs/>
          <w:sz w:val="30"/>
          <w:szCs w:val="30"/>
          <w:highlight w:val="none"/>
        </w:rPr>
        <w:t>方：南通市通州区水务有限公司</w:t>
      </w:r>
    </w:p>
    <w:p w14:paraId="1A9361C7">
      <w:pPr>
        <w:pStyle w:val="49"/>
        <w:ind w:left="0" w:firstLine="1035" w:firstLineChars="345"/>
        <w:rPr>
          <w:rFonts w:hint="default" w:ascii="宋体" w:hAnsi="宋体" w:eastAsia="宋体" w:cs="宋体"/>
          <w:b w:val="0"/>
          <w:bCs/>
          <w:sz w:val="30"/>
          <w:szCs w:val="30"/>
          <w:highlight w:val="none"/>
          <w:u w:val="single"/>
          <w:lang w:val="en-US" w:eastAsia="zh-CN"/>
        </w:rPr>
      </w:pPr>
      <w:r>
        <w:rPr>
          <w:rFonts w:hint="eastAsia" w:ascii="宋体" w:hAnsi="宋体" w:eastAsia="宋体" w:cs="宋体"/>
          <w:b w:val="0"/>
          <w:bCs/>
          <w:sz w:val="30"/>
          <w:szCs w:val="30"/>
          <w:highlight w:val="none"/>
        </w:rPr>
        <w:t>卖</w:t>
      </w:r>
      <w:r>
        <w:rPr>
          <w:rFonts w:hint="eastAsia" w:ascii="宋体" w:hAnsi="宋体" w:eastAsia="宋体" w:cs="宋体"/>
          <w:b w:val="0"/>
          <w:bCs/>
          <w:sz w:val="30"/>
          <w:szCs w:val="30"/>
          <w:highlight w:val="none"/>
          <w:lang w:val="en-US" w:eastAsia="zh-CN"/>
        </w:rPr>
        <w:t xml:space="preserve">    </w:t>
      </w:r>
      <w:r>
        <w:rPr>
          <w:rFonts w:hint="eastAsia" w:ascii="宋体" w:hAnsi="宋体" w:eastAsia="宋体" w:cs="宋体"/>
          <w:b w:val="0"/>
          <w:bCs/>
          <w:sz w:val="30"/>
          <w:szCs w:val="30"/>
          <w:highlight w:val="none"/>
        </w:rPr>
        <w:t>方：</w:t>
      </w:r>
      <w:r>
        <w:rPr>
          <w:rFonts w:hint="eastAsia" w:ascii="宋体" w:hAnsi="宋体" w:eastAsia="宋体" w:cs="宋体"/>
          <w:b w:val="0"/>
          <w:bCs/>
          <w:sz w:val="30"/>
          <w:szCs w:val="30"/>
          <w:highlight w:val="none"/>
          <w:u w:val="single"/>
          <w:lang w:val="en-US" w:eastAsia="zh-CN"/>
        </w:rPr>
        <w:t xml:space="preserve">                         </w:t>
      </w:r>
    </w:p>
    <w:p w14:paraId="293D358C">
      <w:pPr>
        <w:pStyle w:val="49"/>
        <w:ind w:left="596" w:leftChars="284" w:firstLine="450" w:firstLineChars="150"/>
        <w:jc w:val="both"/>
        <w:rPr>
          <w:rFonts w:hint="eastAsia" w:ascii="宋体" w:hAnsi="宋体" w:eastAsia="宋体" w:cs="宋体"/>
          <w:b w:val="0"/>
          <w:bCs/>
          <w:sz w:val="30"/>
          <w:szCs w:val="30"/>
          <w:highlight w:val="none"/>
        </w:rPr>
      </w:pPr>
      <w:r>
        <w:rPr>
          <w:rFonts w:hint="eastAsia" w:ascii="宋体" w:hAnsi="宋体" w:eastAsia="宋体" w:cs="宋体"/>
          <w:b w:val="0"/>
          <w:bCs/>
          <w:sz w:val="30"/>
          <w:szCs w:val="30"/>
          <w:highlight w:val="none"/>
        </w:rPr>
        <w:t>签订日期：</w:t>
      </w:r>
      <w:r>
        <w:rPr>
          <w:rFonts w:hint="eastAsia" w:ascii="宋体" w:hAnsi="宋体" w:eastAsia="宋体" w:cs="宋体"/>
          <w:b w:val="0"/>
          <w:bCs/>
          <w:sz w:val="30"/>
          <w:szCs w:val="30"/>
          <w:highlight w:val="none"/>
          <w:u w:val="single"/>
        </w:rPr>
        <w:t>202</w:t>
      </w:r>
      <w:r>
        <w:rPr>
          <w:rFonts w:hint="eastAsia" w:ascii="宋体" w:hAnsi="宋体" w:eastAsia="宋体" w:cs="宋体"/>
          <w:b w:val="0"/>
          <w:bCs/>
          <w:sz w:val="30"/>
          <w:szCs w:val="30"/>
          <w:highlight w:val="none"/>
          <w:u w:val="single"/>
          <w:lang w:val="en-US" w:eastAsia="zh-CN"/>
        </w:rPr>
        <w:t>5</w:t>
      </w:r>
      <w:r>
        <w:rPr>
          <w:rFonts w:hint="eastAsia" w:ascii="宋体" w:hAnsi="宋体" w:eastAsia="宋体" w:cs="宋体"/>
          <w:b w:val="0"/>
          <w:bCs/>
          <w:sz w:val="30"/>
          <w:szCs w:val="30"/>
          <w:highlight w:val="none"/>
        </w:rPr>
        <w:t>年</w:t>
      </w:r>
      <w:r>
        <w:rPr>
          <w:rFonts w:hint="eastAsia" w:ascii="宋体" w:hAnsi="宋体" w:eastAsia="宋体" w:cs="宋体"/>
          <w:b w:val="0"/>
          <w:bCs/>
          <w:sz w:val="30"/>
          <w:szCs w:val="30"/>
          <w:highlight w:val="none"/>
          <w:u w:val="single"/>
          <w:lang w:val="en-US" w:eastAsia="zh-CN"/>
        </w:rPr>
        <w:t xml:space="preserve">    </w:t>
      </w:r>
      <w:r>
        <w:rPr>
          <w:rFonts w:hint="eastAsia" w:ascii="宋体" w:hAnsi="宋体" w:eastAsia="宋体" w:cs="宋体"/>
          <w:b w:val="0"/>
          <w:bCs/>
          <w:sz w:val="30"/>
          <w:szCs w:val="30"/>
          <w:highlight w:val="none"/>
        </w:rPr>
        <w:t>月</w:t>
      </w:r>
      <w:r>
        <w:rPr>
          <w:rFonts w:hint="eastAsia" w:ascii="宋体" w:hAnsi="宋体" w:eastAsia="宋体" w:cs="宋体"/>
          <w:b w:val="0"/>
          <w:bCs/>
          <w:sz w:val="30"/>
          <w:szCs w:val="30"/>
          <w:highlight w:val="none"/>
          <w:u w:val="single"/>
          <w:lang w:val="en-US" w:eastAsia="zh-CN"/>
        </w:rPr>
        <w:t xml:space="preserve">    </w:t>
      </w:r>
      <w:r>
        <w:rPr>
          <w:rFonts w:hint="eastAsia" w:ascii="宋体" w:hAnsi="宋体" w:eastAsia="宋体" w:cs="宋体"/>
          <w:b w:val="0"/>
          <w:bCs/>
          <w:sz w:val="30"/>
          <w:szCs w:val="30"/>
          <w:highlight w:val="none"/>
        </w:rPr>
        <w:t>日</w:t>
      </w:r>
    </w:p>
    <w:p w14:paraId="31C637D1">
      <w:pPr>
        <w:pStyle w:val="49"/>
        <w:ind w:left="358" w:hanging="336" w:hangingChars="112"/>
        <w:jc w:val="center"/>
        <w:rPr>
          <w:rFonts w:hint="eastAsia" w:ascii="宋体" w:hAnsi="宋体" w:eastAsia="宋体" w:cs="宋体"/>
          <w:sz w:val="24"/>
          <w:szCs w:val="24"/>
          <w:highlight w:val="none"/>
        </w:rPr>
      </w:pPr>
      <w:r>
        <w:rPr>
          <w:rFonts w:hint="eastAsia" w:ascii="宋体" w:hAnsi="宋体" w:eastAsia="宋体" w:cs="宋体"/>
          <w:b w:val="0"/>
          <w:bCs/>
          <w:sz w:val="30"/>
          <w:szCs w:val="30"/>
          <w:highlight w:val="none"/>
        </w:rPr>
        <w:br w:type="page"/>
      </w:r>
    </w:p>
    <w:p w14:paraId="7C2DEE2A">
      <w:pPr>
        <w:pStyle w:val="49"/>
        <w:ind w:left="358" w:hanging="268" w:hangingChars="112"/>
        <w:jc w:val="center"/>
        <w:rPr>
          <w:rFonts w:hint="eastAsia" w:ascii="宋体" w:hAnsi="宋体" w:eastAsia="宋体" w:cs="宋体"/>
          <w:sz w:val="24"/>
          <w:szCs w:val="24"/>
          <w:highlight w:val="none"/>
        </w:rPr>
      </w:pPr>
    </w:p>
    <w:p w14:paraId="23330B19">
      <w:pPr>
        <w:pStyle w:val="49"/>
        <w:ind w:left="358" w:hanging="360" w:hangingChars="112"/>
        <w:jc w:val="center"/>
        <w:rPr>
          <w:rFonts w:hint="eastAsia" w:ascii="宋体" w:hAnsi="宋体" w:eastAsia="宋体" w:cs="宋体"/>
          <w:b/>
          <w:bCs/>
          <w:sz w:val="32"/>
          <w:szCs w:val="32"/>
          <w:highlight w:val="none"/>
        </w:rPr>
      </w:pPr>
      <w:r>
        <w:rPr>
          <w:rFonts w:hint="eastAsia" w:ascii="宋体" w:hAnsi="宋体" w:eastAsia="宋体" w:cs="宋体"/>
          <w:b/>
          <w:bCs/>
          <w:sz w:val="32"/>
          <w:szCs w:val="32"/>
          <w:highlight w:val="none"/>
        </w:rPr>
        <w:t>合同条款前附表</w:t>
      </w:r>
    </w:p>
    <w:tbl>
      <w:tblPr>
        <w:tblStyle w:val="26"/>
        <w:tblW w:w="87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8"/>
        <w:gridCol w:w="7941"/>
      </w:tblGrid>
      <w:tr w14:paraId="297E97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838" w:type="dxa"/>
            <w:vAlign w:val="center"/>
          </w:tcPr>
          <w:p w14:paraId="683CF4FA">
            <w:pPr>
              <w:spacing w:line="520" w:lineRule="exact"/>
              <w:jc w:val="center"/>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序号</w:t>
            </w:r>
          </w:p>
        </w:tc>
        <w:tc>
          <w:tcPr>
            <w:tcW w:w="7941" w:type="dxa"/>
            <w:vAlign w:val="center"/>
          </w:tcPr>
          <w:p w14:paraId="0230A3D8">
            <w:pPr>
              <w:spacing w:line="520" w:lineRule="exact"/>
              <w:jc w:val="center"/>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内容</w:t>
            </w:r>
          </w:p>
        </w:tc>
      </w:tr>
      <w:tr w14:paraId="5C18CF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7" w:hRule="atLeast"/>
          <w:jc w:val="center"/>
        </w:trPr>
        <w:tc>
          <w:tcPr>
            <w:tcW w:w="838" w:type="dxa"/>
            <w:vAlign w:val="center"/>
          </w:tcPr>
          <w:p w14:paraId="15900016">
            <w:pPr>
              <w:spacing w:line="52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1</w:t>
            </w:r>
          </w:p>
        </w:tc>
        <w:tc>
          <w:tcPr>
            <w:tcW w:w="7941" w:type="dxa"/>
            <w:vAlign w:val="center"/>
          </w:tcPr>
          <w:p w14:paraId="2CB42F8B">
            <w:pPr>
              <w:spacing w:line="52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买方名称：南通市通州区水务有限公司</w:t>
            </w:r>
          </w:p>
          <w:p w14:paraId="34822351">
            <w:pPr>
              <w:spacing w:line="52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买方地址：南通市通州区金沙镇金通路18号</w:t>
            </w:r>
          </w:p>
          <w:p w14:paraId="5EEA66E8">
            <w:pPr>
              <w:spacing w:line="52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买方电话：0513-86540810     </w:t>
            </w:r>
          </w:p>
          <w:p w14:paraId="09BB55E5">
            <w:pPr>
              <w:spacing w:line="52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买方联系人：曹武</w:t>
            </w:r>
          </w:p>
        </w:tc>
      </w:tr>
      <w:tr w14:paraId="7CA84D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7" w:hRule="atLeast"/>
          <w:jc w:val="center"/>
        </w:trPr>
        <w:tc>
          <w:tcPr>
            <w:tcW w:w="838" w:type="dxa"/>
            <w:vAlign w:val="center"/>
          </w:tcPr>
          <w:p w14:paraId="70532087">
            <w:pPr>
              <w:spacing w:line="52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2</w:t>
            </w:r>
          </w:p>
        </w:tc>
        <w:tc>
          <w:tcPr>
            <w:tcW w:w="7941" w:type="dxa"/>
            <w:vAlign w:val="center"/>
          </w:tcPr>
          <w:p w14:paraId="00971096">
            <w:pPr>
              <w:spacing w:line="520" w:lineRule="exact"/>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卖方名称：</w:t>
            </w:r>
          </w:p>
          <w:p w14:paraId="505F9C6B">
            <w:pPr>
              <w:spacing w:line="520" w:lineRule="exact"/>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卖方地址：</w:t>
            </w:r>
          </w:p>
          <w:p w14:paraId="667F6790">
            <w:pPr>
              <w:spacing w:line="520" w:lineRule="exact"/>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卖方电话：</w:t>
            </w:r>
          </w:p>
          <w:p w14:paraId="2B4E1A94">
            <w:pPr>
              <w:spacing w:line="520" w:lineRule="exact"/>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卖方联系人：</w:t>
            </w:r>
          </w:p>
        </w:tc>
      </w:tr>
      <w:tr w14:paraId="498914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jc w:val="center"/>
        </w:trPr>
        <w:tc>
          <w:tcPr>
            <w:tcW w:w="838" w:type="dxa"/>
            <w:vAlign w:val="center"/>
          </w:tcPr>
          <w:p w14:paraId="4B66ACA6">
            <w:pPr>
              <w:spacing w:line="52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3</w:t>
            </w:r>
          </w:p>
        </w:tc>
        <w:tc>
          <w:tcPr>
            <w:tcW w:w="7941" w:type="dxa"/>
            <w:vAlign w:val="center"/>
          </w:tcPr>
          <w:p w14:paraId="14DFBE79">
            <w:pPr>
              <w:spacing w:line="520" w:lineRule="exact"/>
              <w:rPr>
                <w:rFonts w:hint="eastAsia" w:ascii="宋体" w:hAnsi="宋体" w:eastAsia="宋体" w:cs="宋体"/>
                <w:sz w:val="24"/>
                <w:szCs w:val="24"/>
                <w:highlight w:val="none"/>
                <w:u w:val="single"/>
                <w:lang w:val="en-US" w:eastAsia="zh-CN"/>
              </w:rPr>
            </w:pPr>
            <w:r>
              <w:rPr>
                <w:rFonts w:hint="eastAsia" w:ascii="宋体" w:hAnsi="宋体" w:eastAsia="宋体" w:cs="宋体"/>
                <w:sz w:val="24"/>
                <w:szCs w:val="24"/>
                <w:highlight w:val="none"/>
              </w:rPr>
              <w:t>项目现场：</w:t>
            </w:r>
            <w:r>
              <w:rPr>
                <w:rFonts w:hint="eastAsia" w:ascii="宋体" w:hAnsi="宋体" w:eastAsia="宋体" w:cs="宋体"/>
                <w:sz w:val="24"/>
                <w:szCs w:val="24"/>
                <w:highlight w:val="none"/>
                <w:u w:val="single"/>
              </w:rPr>
              <w:t>通州</w:t>
            </w:r>
            <w:r>
              <w:rPr>
                <w:rFonts w:hint="eastAsia" w:ascii="宋体" w:hAnsi="宋体" w:eastAsia="宋体" w:cs="宋体"/>
                <w:sz w:val="24"/>
                <w:szCs w:val="24"/>
                <w:highlight w:val="none"/>
                <w:u w:val="single"/>
                <w:lang w:val="en-US" w:eastAsia="zh-CN"/>
              </w:rPr>
              <w:t>区</w:t>
            </w:r>
          </w:p>
        </w:tc>
      </w:tr>
      <w:tr w14:paraId="2254AC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4" w:hRule="atLeast"/>
          <w:jc w:val="center"/>
        </w:trPr>
        <w:tc>
          <w:tcPr>
            <w:tcW w:w="838" w:type="dxa"/>
            <w:vAlign w:val="center"/>
          </w:tcPr>
          <w:p w14:paraId="616269B5">
            <w:pPr>
              <w:spacing w:line="52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4</w:t>
            </w:r>
          </w:p>
        </w:tc>
        <w:tc>
          <w:tcPr>
            <w:tcW w:w="7941" w:type="dxa"/>
            <w:vAlign w:val="center"/>
          </w:tcPr>
          <w:p w14:paraId="1EF3C483">
            <w:pPr>
              <w:spacing w:line="52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合同价格：人民币：</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rPr>
              <w:t>（RMB：</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元 </w:t>
            </w:r>
            <w:r>
              <w:rPr>
                <w:rFonts w:hint="eastAsia" w:ascii="宋体" w:hAnsi="宋体" w:eastAsia="宋体" w:cs="宋体"/>
                <w:sz w:val="24"/>
                <w:szCs w:val="24"/>
                <w:highlight w:val="none"/>
              </w:rPr>
              <w:t>）</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后附供货清单</w:t>
            </w:r>
          </w:p>
        </w:tc>
      </w:tr>
      <w:tr w14:paraId="52505F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1" w:hRule="atLeast"/>
          <w:jc w:val="center"/>
        </w:trPr>
        <w:tc>
          <w:tcPr>
            <w:tcW w:w="838" w:type="dxa"/>
            <w:vAlign w:val="center"/>
          </w:tcPr>
          <w:p w14:paraId="7A6BDDFA">
            <w:pPr>
              <w:spacing w:line="520" w:lineRule="exact"/>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5</w:t>
            </w:r>
          </w:p>
        </w:tc>
        <w:tc>
          <w:tcPr>
            <w:tcW w:w="7941" w:type="dxa"/>
            <w:vAlign w:val="center"/>
          </w:tcPr>
          <w:p w14:paraId="20432B11">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质量标准及保证：</w:t>
            </w:r>
            <w:r>
              <w:rPr>
                <w:rFonts w:hint="eastAsia" w:ascii="宋体" w:hAnsi="宋体" w:eastAsia="宋体" w:cs="宋体"/>
                <w:sz w:val="24"/>
                <w:szCs w:val="24"/>
                <w:highlight w:val="none"/>
              </w:rPr>
              <w:t>货物全部送到买方指定的地点</w:t>
            </w:r>
            <w:r>
              <w:rPr>
                <w:rFonts w:hint="eastAsia" w:ascii="宋体" w:hAnsi="宋体" w:eastAsia="宋体" w:cs="宋体"/>
                <w:sz w:val="24"/>
                <w:szCs w:val="24"/>
                <w:highlight w:val="none"/>
                <w:lang w:val="en-US" w:eastAsia="zh-CN"/>
              </w:rPr>
              <w:t>并</w:t>
            </w:r>
            <w:r>
              <w:rPr>
                <w:rFonts w:hint="eastAsia" w:ascii="宋体" w:hAnsi="宋体" w:cs="宋体"/>
                <w:sz w:val="24"/>
                <w:szCs w:val="24"/>
                <w:highlight w:val="none"/>
                <w:lang w:val="en-US" w:eastAsia="zh-CN"/>
              </w:rPr>
              <w:t>由</w:t>
            </w:r>
            <w:r>
              <w:rPr>
                <w:rFonts w:hint="eastAsia" w:ascii="宋体" w:hAnsi="宋体" w:eastAsia="宋体" w:cs="宋体"/>
                <w:sz w:val="24"/>
                <w:szCs w:val="24"/>
                <w:highlight w:val="none"/>
                <w:lang w:val="en-US" w:eastAsia="zh-CN"/>
              </w:rPr>
              <w:t>卖方负责</w:t>
            </w:r>
            <w:r>
              <w:rPr>
                <w:rFonts w:hint="eastAsia" w:ascii="宋体" w:hAnsi="宋体" w:eastAsia="宋体" w:cs="宋体"/>
                <w:sz w:val="24"/>
                <w:szCs w:val="24"/>
                <w:highlight w:val="none"/>
              </w:rPr>
              <w:t>安装</w:t>
            </w:r>
            <w:r>
              <w:rPr>
                <w:rFonts w:hint="eastAsia" w:ascii="宋体" w:hAnsi="宋体" w:cs="宋体"/>
                <w:sz w:val="24"/>
                <w:szCs w:val="24"/>
                <w:highlight w:val="none"/>
                <w:lang w:val="en-US" w:eastAsia="zh-CN"/>
              </w:rPr>
              <w:t>及</w:t>
            </w:r>
            <w:r>
              <w:rPr>
                <w:rFonts w:hint="eastAsia" w:ascii="宋体" w:hAnsi="宋体" w:eastAsia="宋体" w:cs="宋体"/>
                <w:sz w:val="24"/>
                <w:szCs w:val="24"/>
                <w:highlight w:val="none"/>
              </w:rPr>
              <w:t>调试</w:t>
            </w:r>
            <w:r>
              <w:rPr>
                <w:rFonts w:hint="eastAsia" w:ascii="宋体" w:hAnsi="宋体" w:cs="宋体"/>
                <w:sz w:val="24"/>
                <w:szCs w:val="24"/>
                <w:highlight w:val="none"/>
                <w:lang w:eastAsia="zh-CN"/>
              </w:rPr>
              <w:t>。</w:t>
            </w:r>
            <w:r>
              <w:rPr>
                <w:rFonts w:hint="eastAsia" w:ascii="宋体" w:hAnsi="宋体" w:eastAsia="宋体" w:cs="宋体"/>
                <w:sz w:val="24"/>
                <w:szCs w:val="24"/>
                <w:highlight w:val="none"/>
              </w:rPr>
              <w:t>试运行</w:t>
            </w: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rPr>
              <w:t>个月后。</w:t>
            </w:r>
            <w:r>
              <w:rPr>
                <w:rFonts w:hint="eastAsia" w:ascii="宋体" w:hAnsi="宋体" w:eastAsia="宋体" w:cs="宋体"/>
                <w:sz w:val="24"/>
                <w:szCs w:val="24"/>
                <w:highlight w:val="none"/>
                <w:lang w:val="en-US" w:eastAsia="zh-CN"/>
              </w:rPr>
              <w:t>卖方出具具备</w:t>
            </w:r>
            <w:r>
              <w:rPr>
                <w:rFonts w:hint="eastAsia" w:ascii="宋体" w:hAnsi="宋体" w:eastAsia="宋体" w:cs="宋体"/>
                <w:sz w:val="24"/>
                <w:szCs w:val="24"/>
                <w:highlight w:val="none"/>
              </w:rPr>
              <w:t>CNAS/CMA资质</w:t>
            </w:r>
            <w:r>
              <w:rPr>
                <w:rFonts w:hint="eastAsia" w:ascii="宋体" w:hAnsi="宋体" w:eastAsia="宋体" w:cs="宋体"/>
                <w:sz w:val="24"/>
                <w:szCs w:val="24"/>
                <w:highlight w:val="none"/>
                <w:lang w:val="en-US" w:eastAsia="zh-CN"/>
              </w:rPr>
              <w:t>的第</w:t>
            </w:r>
            <w:r>
              <w:rPr>
                <w:rFonts w:hint="eastAsia" w:ascii="宋体" w:hAnsi="宋体" w:eastAsia="宋体" w:cs="宋体"/>
                <w:sz w:val="24"/>
                <w:szCs w:val="24"/>
                <w:highlight w:val="none"/>
              </w:rPr>
              <w:t>三方</w:t>
            </w:r>
            <w:r>
              <w:rPr>
                <w:rFonts w:hint="eastAsia" w:ascii="宋体" w:hAnsi="宋体" w:eastAsia="宋体" w:cs="宋体"/>
                <w:sz w:val="24"/>
                <w:szCs w:val="24"/>
                <w:highlight w:val="none"/>
                <w:lang w:val="en-US" w:eastAsia="zh-CN"/>
              </w:rPr>
              <w:t>单位或机构</w:t>
            </w:r>
            <w:r>
              <w:rPr>
                <w:rFonts w:hint="eastAsia" w:ascii="宋体" w:hAnsi="宋体" w:eastAsia="宋体" w:cs="宋体"/>
                <w:sz w:val="24"/>
                <w:szCs w:val="24"/>
                <w:highlight w:val="none"/>
              </w:rPr>
              <w:t>电能质量检测报告，</w:t>
            </w:r>
            <w:r>
              <w:rPr>
                <w:rFonts w:hint="eastAsia" w:ascii="宋体" w:hAnsi="宋体" w:eastAsia="宋体" w:cs="宋体"/>
                <w:sz w:val="24"/>
                <w:szCs w:val="24"/>
                <w:highlight w:val="none"/>
                <w:lang w:val="en-US" w:eastAsia="zh-CN"/>
              </w:rPr>
              <w:t>并由卖方提交并通过项目所在地供电部门审核和备案</w:t>
            </w:r>
            <w:r>
              <w:rPr>
                <w:rFonts w:hint="eastAsia" w:ascii="宋体" w:hAnsi="宋体" w:eastAsia="宋体" w:cs="宋体"/>
                <w:sz w:val="24"/>
                <w:szCs w:val="24"/>
                <w:highlight w:val="none"/>
              </w:rPr>
              <w:t>。</w:t>
            </w:r>
          </w:p>
        </w:tc>
      </w:tr>
      <w:tr w14:paraId="24DC62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0" w:hRule="atLeast"/>
          <w:jc w:val="center"/>
        </w:trPr>
        <w:tc>
          <w:tcPr>
            <w:tcW w:w="838" w:type="dxa"/>
            <w:vAlign w:val="center"/>
          </w:tcPr>
          <w:p w14:paraId="137B9B50">
            <w:pPr>
              <w:spacing w:line="520" w:lineRule="exact"/>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6</w:t>
            </w:r>
          </w:p>
        </w:tc>
        <w:tc>
          <w:tcPr>
            <w:tcW w:w="7941" w:type="dxa"/>
            <w:vAlign w:val="center"/>
          </w:tcPr>
          <w:p w14:paraId="452422FA">
            <w:pPr>
              <w:rPr>
                <w:rFonts w:hint="eastAsia" w:ascii="宋体" w:hAnsi="宋体" w:eastAsia="宋体" w:cs="宋体"/>
                <w:sz w:val="24"/>
                <w:szCs w:val="24"/>
                <w:highlight w:val="none"/>
              </w:rPr>
            </w:pPr>
            <w:r>
              <w:rPr>
                <w:rFonts w:hint="eastAsia" w:ascii="宋体" w:hAnsi="宋体" w:eastAsia="宋体" w:cs="宋体"/>
                <w:sz w:val="24"/>
                <w:szCs w:val="24"/>
                <w:highlight w:val="none"/>
              </w:rPr>
              <w:t>付款计划：</w:t>
            </w:r>
            <w:r>
              <w:rPr>
                <w:rFonts w:hint="eastAsia" w:ascii="宋体" w:hAnsi="宋体" w:cs="宋体"/>
                <w:sz w:val="24"/>
                <w:szCs w:val="24"/>
                <w:highlight w:val="none"/>
                <w:lang w:val="en-US" w:eastAsia="zh-CN"/>
              </w:rPr>
              <w:t>项目</w:t>
            </w:r>
            <w:r>
              <w:rPr>
                <w:rFonts w:hint="eastAsia" w:ascii="宋体" w:hAnsi="宋体" w:eastAsia="宋体" w:cs="宋体"/>
                <w:sz w:val="24"/>
                <w:szCs w:val="24"/>
                <w:highlight w:val="none"/>
              </w:rPr>
              <w:t>经买方</w:t>
            </w:r>
            <w:r>
              <w:rPr>
                <w:rFonts w:hint="eastAsia" w:ascii="宋体" w:hAnsi="宋体" w:cs="宋体"/>
                <w:sz w:val="24"/>
                <w:szCs w:val="24"/>
                <w:highlight w:val="none"/>
                <w:lang w:val="en-US" w:eastAsia="zh-CN"/>
              </w:rPr>
              <w:t>组织</w:t>
            </w:r>
            <w:r>
              <w:rPr>
                <w:rFonts w:hint="eastAsia" w:ascii="宋体" w:hAnsi="宋体" w:eastAsia="宋体" w:cs="宋体"/>
                <w:sz w:val="24"/>
                <w:szCs w:val="24"/>
                <w:highlight w:val="none"/>
              </w:rPr>
              <w:t>验收</w:t>
            </w:r>
            <w:r>
              <w:rPr>
                <w:rFonts w:hint="eastAsia" w:ascii="宋体" w:hAnsi="宋体" w:cs="宋体"/>
                <w:sz w:val="24"/>
                <w:szCs w:val="24"/>
                <w:highlight w:val="none"/>
                <w:lang w:val="en-US" w:eastAsia="zh-CN"/>
              </w:rPr>
              <w:t>并</w:t>
            </w:r>
            <w:r>
              <w:rPr>
                <w:rFonts w:hint="eastAsia" w:ascii="宋体" w:hAnsi="宋体" w:eastAsia="宋体" w:cs="宋体"/>
                <w:sz w:val="24"/>
                <w:szCs w:val="24"/>
                <w:highlight w:val="none"/>
              </w:rPr>
              <w:t>合格</w:t>
            </w:r>
            <w:r>
              <w:rPr>
                <w:rFonts w:hint="eastAsia" w:ascii="宋体" w:hAnsi="宋体" w:cs="宋体"/>
                <w:sz w:val="24"/>
                <w:szCs w:val="24"/>
                <w:highlight w:val="none"/>
                <w:lang w:val="en-US" w:eastAsia="zh-CN"/>
              </w:rPr>
              <w:t>后</w:t>
            </w:r>
            <w:r>
              <w:rPr>
                <w:rFonts w:hint="eastAsia" w:ascii="宋体" w:hAnsi="宋体" w:eastAsia="宋体" w:cs="宋体"/>
                <w:sz w:val="24"/>
                <w:szCs w:val="24"/>
                <w:highlight w:val="none"/>
              </w:rPr>
              <w:t>，</w:t>
            </w:r>
            <w:r>
              <w:rPr>
                <w:rFonts w:hint="eastAsia" w:ascii="宋体" w:hAnsi="宋体" w:cs="宋体"/>
                <w:sz w:val="24"/>
                <w:szCs w:val="24"/>
                <w:highlight w:val="none"/>
                <w:lang w:val="en-US" w:eastAsia="zh-CN"/>
              </w:rPr>
              <w:t>卖方</w:t>
            </w:r>
            <w:r>
              <w:rPr>
                <w:rFonts w:hint="eastAsia" w:ascii="宋体" w:hAnsi="宋体" w:eastAsia="宋体" w:cs="宋体"/>
                <w:sz w:val="24"/>
                <w:szCs w:val="24"/>
                <w:highlight w:val="none"/>
                <w:lang w:val="en-US" w:eastAsia="zh-CN"/>
              </w:rPr>
              <w:t>按</w:t>
            </w:r>
            <w:r>
              <w:rPr>
                <w:rFonts w:hint="eastAsia" w:ascii="宋体" w:hAnsi="宋体" w:cs="宋体"/>
                <w:sz w:val="24"/>
                <w:szCs w:val="24"/>
                <w:highlight w:val="none"/>
                <w:lang w:val="en-US" w:eastAsia="zh-CN"/>
              </w:rPr>
              <w:t>合同</w:t>
            </w:r>
            <w:r>
              <w:rPr>
                <w:rFonts w:hint="eastAsia" w:ascii="宋体" w:hAnsi="宋体" w:eastAsia="宋体" w:cs="宋体"/>
                <w:sz w:val="24"/>
                <w:szCs w:val="24"/>
                <w:highlight w:val="none"/>
                <w:lang w:val="en-US" w:eastAsia="zh-CN"/>
              </w:rPr>
              <w:t>金额</w:t>
            </w:r>
            <w:r>
              <w:rPr>
                <w:rFonts w:hint="eastAsia" w:ascii="宋体" w:hAnsi="宋体" w:eastAsia="宋体" w:cs="宋体"/>
                <w:sz w:val="24"/>
                <w:szCs w:val="24"/>
                <w:highlight w:val="none"/>
              </w:rPr>
              <w:t>全额开具增值税专用发票，</w:t>
            </w:r>
            <w:r>
              <w:rPr>
                <w:rFonts w:hint="eastAsia" w:ascii="宋体" w:hAnsi="宋体" w:cs="宋体"/>
                <w:sz w:val="24"/>
                <w:szCs w:val="24"/>
                <w:highlight w:val="none"/>
                <w:lang w:val="en-US" w:eastAsia="zh-CN"/>
              </w:rPr>
              <w:t>买方</w:t>
            </w:r>
            <w:r>
              <w:rPr>
                <w:rFonts w:hint="eastAsia" w:ascii="宋体" w:hAnsi="宋体" w:eastAsia="宋体" w:cs="宋体"/>
                <w:sz w:val="24"/>
                <w:szCs w:val="24"/>
                <w:highlight w:val="none"/>
              </w:rPr>
              <w:t>20日内支付合同总额的97%，同时退还履约保证金，</w:t>
            </w:r>
            <w:r>
              <w:rPr>
                <w:rFonts w:hint="eastAsia" w:ascii="宋体" w:hAnsi="宋体" w:cs="宋体"/>
                <w:sz w:val="24"/>
                <w:szCs w:val="24"/>
                <w:highlight w:val="none"/>
                <w:lang w:val="en-US" w:eastAsia="zh-CN"/>
              </w:rPr>
              <w:t>合同</w:t>
            </w:r>
            <w:r>
              <w:rPr>
                <w:rFonts w:hint="eastAsia" w:ascii="宋体" w:hAnsi="宋体" w:eastAsia="宋体" w:cs="宋体"/>
                <w:sz w:val="24"/>
                <w:szCs w:val="24"/>
                <w:highlight w:val="none"/>
              </w:rPr>
              <w:t>余款作为</w:t>
            </w:r>
            <w:r>
              <w:rPr>
                <w:rFonts w:hint="eastAsia" w:ascii="宋体" w:hAnsi="宋体" w:eastAsia="宋体" w:cs="宋体"/>
                <w:sz w:val="24"/>
                <w:szCs w:val="24"/>
                <w:highlight w:val="none"/>
                <w:lang w:val="en-US" w:eastAsia="zh-CN"/>
              </w:rPr>
              <w:t>质保金</w:t>
            </w:r>
            <w:r>
              <w:rPr>
                <w:rFonts w:hint="eastAsia" w:ascii="宋体" w:hAnsi="宋体" w:cs="宋体"/>
                <w:sz w:val="24"/>
                <w:szCs w:val="24"/>
                <w:highlight w:val="none"/>
                <w:lang w:val="en-US" w:eastAsia="zh-CN"/>
              </w:rPr>
              <w:t>，</w:t>
            </w:r>
            <w:r>
              <w:rPr>
                <w:rFonts w:hint="eastAsia" w:ascii="宋体" w:hAnsi="宋体" w:eastAsia="宋体" w:cs="宋体"/>
                <w:sz w:val="24"/>
                <w:szCs w:val="24"/>
                <w:highlight w:val="none"/>
              </w:rPr>
              <w:t>待质保期（</w:t>
            </w:r>
            <w:r>
              <w:rPr>
                <w:rFonts w:hint="eastAsia" w:ascii="宋体" w:hAnsi="宋体" w:eastAsia="宋体" w:cs="宋体"/>
                <w:sz w:val="24"/>
                <w:szCs w:val="24"/>
                <w:highlight w:val="none"/>
                <w:lang w:val="en-US" w:eastAsia="zh-CN"/>
              </w:rPr>
              <w:t>一</w:t>
            </w:r>
            <w:r>
              <w:rPr>
                <w:rFonts w:hint="eastAsia" w:ascii="宋体" w:hAnsi="宋体" w:eastAsia="宋体" w:cs="宋体"/>
                <w:sz w:val="24"/>
                <w:szCs w:val="24"/>
                <w:highlight w:val="none"/>
              </w:rPr>
              <w:t>年，自验收合格之日起计算）期满后10日内付清</w:t>
            </w:r>
            <w:r>
              <w:rPr>
                <w:rFonts w:hint="eastAsia" w:ascii="宋体" w:hAnsi="宋体" w:eastAsia="宋体" w:cs="宋体"/>
                <w:sz w:val="24"/>
                <w:szCs w:val="24"/>
                <w:highlight w:val="none"/>
                <w:lang w:eastAsia="zh-CN"/>
              </w:rPr>
              <w:t>。</w:t>
            </w:r>
          </w:p>
        </w:tc>
      </w:tr>
      <w:tr w14:paraId="0FF909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1" w:hRule="atLeast"/>
          <w:jc w:val="center"/>
        </w:trPr>
        <w:tc>
          <w:tcPr>
            <w:tcW w:w="838" w:type="dxa"/>
            <w:vAlign w:val="center"/>
          </w:tcPr>
          <w:p w14:paraId="52F38DF5">
            <w:pPr>
              <w:spacing w:line="360" w:lineRule="exact"/>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7</w:t>
            </w:r>
          </w:p>
        </w:tc>
        <w:tc>
          <w:tcPr>
            <w:tcW w:w="7941" w:type="dxa"/>
            <w:vAlign w:val="center"/>
          </w:tcPr>
          <w:p w14:paraId="09D0F6ED">
            <w:pPr>
              <w:rPr>
                <w:rFonts w:hint="eastAsia" w:ascii="宋体" w:hAnsi="宋体" w:eastAsia="宋体" w:cs="宋体"/>
                <w:sz w:val="24"/>
                <w:szCs w:val="24"/>
                <w:highlight w:val="none"/>
              </w:rPr>
            </w:pPr>
            <w:r>
              <w:rPr>
                <w:rFonts w:hint="eastAsia" w:ascii="宋体" w:hAnsi="宋体" w:eastAsia="宋体" w:cs="宋体"/>
                <w:sz w:val="24"/>
                <w:szCs w:val="24"/>
                <w:highlight w:val="none"/>
              </w:rPr>
              <w:t>质量保证（修）期：所有硬件</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软件</w:t>
            </w:r>
            <w:r>
              <w:rPr>
                <w:rFonts w:hint="eastAsia" w:ascii="宋体" w:hAnsi="宋体" w:eastAsia="宋体" w:cs="宋体"/>
                <w:sz w:val="24"/>
                <w:szCs w:val="24"/>
                <w:highlight w:val="none"/>
              </w:rPr>
              <w:t>设备质保期为</w:t>
            </w:r>
            <w:r>
              <w:rPr>
                <w:rFonts w:hint="eastAsia" w:ascii="宋体" w:hAnsi="宋体" w:eastAsia="宋体" w:cs="宋体"/>
                <w:sz w:val="24"/>
                <w:szCs w:val="24"/>
                <w:highlight w:val="none"/>
                <w:lang w:val="en-US" w:eastAsia="zh-CN"/>
              </w:rPr>
              <w:t>一</w:t>
            </w:r>
            <w:r>
              <w:rPr>
                <w:rFonts w:hint="eastAsia" w:ascii="宋体" w:hAnsi="宋体" w:eastAsia="宋体" w:cs="宋体"/>
                <w:sz w:val="24"/>
                <w:szCs w:val="24"/>
                <w:highlight w:val="none"/>
              </w:rPr>
              <w:t>年。项目整体所有产品验收通过之日起开始计算。在质保期内，同一产品、同一质量问题连续两次维修仍无法正常使用，卖方无条件</w:t>
            </w:r>
            <w:r>
              <w:rPr>
                <w:rFonts w:hint="eastAsia" w:ascii="宋体" w:hAnsi="宋体" w:cs="宋体"/>
                <w:sz w:val="24"/>
                <w:szCs w:val="24"/>
                <w:highlight w:val="none"/>
                <w:lang w:val="en-US" w:eastAsia="zh-CN"/>
              </w:rPr>
              <w:t>免费</w:t>
            </w:r>
            <w:r>
              <w:rPr>
                <w:rFonts w:hint="eastAsia" w:ascii="宋体" w:hAnsi="宋体" w:eastAsia="宋体" w:cs="宋体"/>
                <w:sz w:val="24"/>
                <w:szCs w:val="24"/>
                <w:highlight w:val="none"/>
              </w:rPr>
              <w:t>全套更换或退货。质保期内</w:t>
            </w:r>
            <w:r>
              <w:rPr>
                <w:rFonts w:hint="eastAsia" w:ascii="宋体" w:hAnsi="宋体" w:cs="宋体"/>
                <w:sz w:val="24"/>
                <w:szCs w:val="24"/>
                <w:highlight w:val="none"/>
                <w:lang w:val="en-US" w:eastAsia="zh-CN"/>
              </w:rPr>
              <w:t>卖方</w:t>
            </w:r>
            <w:r>
              <w:rPr>
                <w:rFonts w:hint="eastAsia" w:ascii="宋体" w:hAnsi="宋体" w:eastAsia="宋体" w:cs="宋体"/>
                <w:sz w:val="24"/>
                <w:szCs w:val="24"/>
                <w:highlight w:val="none"/>
              </w:rPr>
              <w:t>的服务均为免费上门服务</w:t>
            </w:r>
            <w:r>
              <w:rPr>
                <w:rFonts w:hint="eastAsia" w:ascii="宋体" w:hAnsi="宋体" w:eastAsia="宋体" w:cs="宋体"/>
                <w:sz w:val="24"/>
                <w:szCs w:val="24"/>
                <w:highlight w:val="none"/>
                <w:lang w:eastAsia="zh-CN"/>
              </w:rPr>
              <w:t>。</w:t>
            </w:r>
          </w:p>
        </w:tc>
      </w:tr>
    </w:tbl>
    <w:p w14:paraId="715952B8">
      <w:pPr>
        <w:pStyle w:val="49"/>
        <w:spacing w:line="380" w:lineRule="exact"/>
        <w:ind w:left="358" w:hanging="268" w:hangingChars="112"/>
        <w:rPr>
          <w:rFonts w:hint="eastAsia" w:ascii="宋体" w:hAnsi="宋体" w:eastAsia="宋体" w:cs="宋体"/>
          <w:sz w:val="24"/>
          <w:szCs w:val="24"/>
          <w:highlight w:val="none"/>
        </w:rPr>
      </w:pPr>
    </w:p>
    <w:p w14:paraId="57AFA58C">
      <w:pPr>
        <w:pStyle w:val="49"/>
        <w:ind w:left="358" w:hanging="268" w:hangingChars="112"/>
        <w:jc w:val="center"/>
        <w:rPr>
          <w:rFonts w:hint="eastAsia" w:ascii="宋体" w:hAnsi="宋体" w:eastAsia="宋体" w:cs="宋体"/>
          <w:b/>
          <w:sz w:val="32"/>
          <w:szCs w:val="32"/>
          <w:highlight w:val="none"/>
        </w:rPr>
      </w:pPr>
      <w:r>
        <w:rPr>
          <w:rFonts w:hint="eastAsia" w:ascii="宋体" w:hAnsi="宋体" w:eastAsia="宋体" w:cs="宋体"/>
          <w:sz w:val="24"/>
          <w:szCs w:val="24"/>
          <w:highlight w:val="none"/>
        </w:rPr>
        <w:br w:type="page"/>
      </w:r>
      <w:r>
        <w:rPr>
          <w:rFonts w:hint="eastAsia" w:ascii="宋体" w:hAnsi="宋体" w:eastAsia="宋体" w:cs="宋体"/>
          <w:b/>
          <w:sz w:val="32"/>
          <w:szCs w:val="32"/>
          <w:highlight w:val="none"/>
        </w:rPr>
        <w:t>合  同  条  款</w:t>
      </w:r>
    </w:p>
    <w:p w14:paraId="5EDCA336">
      <w:pPr>
        <w:pStyle w:val="49"/>
        <w:spacing w:line="400" w:lineRule="exact"/>
        <w:ind w:left="361" w:hanging="361"/>
        <w:jc w:val="center"/>
        <w:rPr>
          <w:rFonts w:hint="eastAsia" w:ascii="宋体" w:hAnsi="宋体" w:eastAsia="宋体" w:cs="宋体"/>
          <w:b/>
          <w:bCs/>
          <w:sz w:val="24"/>
          <w:szCs w:val="24"/>
          <w:highlight w:val="none"/>
        </w:rPr>
      </w:pPr>
    </w:p>
    <w:p w14:paraId="64E90A69">
      <w:pPr>
        <w:pageBreakBefore w:val="0"/>
        <w:kinsoku/>
        <w:wordWrap/>
        <w:topLinePunct w:val="0"/>
        <w:bidi w:val="0"/>
        <w:spacing w:line="400" w:lineRule="exact"/>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lang w:val="en-US" w:eastAsia="zh-CN"/>
        </w:rPr>
        <w:t>1.</w:t>
      </w:r>
      <w:r>
        <w:rPr>
          <w:rFonts w:hint="eastAsia" w:ascii="宋体" w:hAnsi="宋体" w:eastAsia="宋体" w:cs="宋体"/>
          <w:b/>
          <w:bCs/>
          <w:sz w:val="24"/>
          <w:szCs w:val="24"/>
          <w:highlight w:val="none"/>
        </w:rPr>
        <w:t>定义</w:t>
      </w:r>
    </w:p>
    <w:p w14:paraId="670A9AE0">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本合同中的下列术语应解释为：</w:t>
      </w:r>
    </w:p>
    <w:p w14:paraId="69FDCCD2">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 xml:space="preserve">1.1 </w:t>
      </w:r>
      <w:r>
        <w:rPr>
          <w:rFonts w:hint="eastAsia" w:ascii="宋体" w:hAnsi="宋体" w:eastAsia="宋体" w:cs="宋体"/>
          <w:sz w:val="24"/>
          <w:szCs w:val="24"/>
          <w:highlight w:val="none"/>
        </w:rPr>
        <w:t>合同系指合同各方共同签署的、载明各方权利义务的协议，包括所有的附件、附录以及上述文件中提到的构成合同的所有文件。</w:t>
      </w:r>
    </w:p>
    <w:p w14:paraId="030AB21E">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 xml:space="preserve">1.2 </w:t>
      </w:r>
      <w:r>
        <w:rPr>
          <w:rFonts w:hint="eastAsia" w:ascii="宋体" w:hAnsi="宋体" w:eastAsia="宋体" w:cs="宋体"/>
          <w:sz w:val="24"/>
          <w:szCs w:val="24"/>
          <w:highlight w:val="none"/>
        </w:rPr>
        <w:t>合同价格系指根据合同的规定，卖方在正确、完整地履行合同义务后，买方应向其支付的所有货款及报酬的金额。</w:t>
      </w:r>
    </w:p>
    <w:p w14:paraId="31A4AE05">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1.3</w:t>
      </w:r>
      <w:r>
        <w:rPr>
          <w:rFonts w:hint="eastAsia" w:ascii="宋体" w:hAnsi="宋体" w:eastAsia="宋体" w:cs="宋体"/>
          <w:sz w:val="24"/>
          <w:szCs w:val="24"/>
          <w:highlight w:val="none"/>
        </w:rPr>
        <w:t xml:space="preserve"> 货物系指卖方根据合同的规定须向买方提供的一切材料、设备、机械、仪表、备品、备件、工具和（或）其他设施。本合同中系指</w:t>
      </w:r>
      <w:r>
        <w:rPr>
          <w:rFonts w:hint="eastAsia" w:ascii="宋体" w:hAnsi="宋体" w:eastAsia="宋体" w:cs="宋体"/>
          <w:sz w:val="24"/>
          <w:szCs w:val="24"/>
          <w:highlight w:val="none"/>
          <w:u w:val="single"/>
          <w:lang w:val="en-US" w:eastAsia="zh-CN"/>
        </w:rPr>
        <w:t>有源滤波器成套设备采购及安装、调试</w:t>
      </w:r>
      <w:r>
        <w:rPr>
          <w:rFonts w:hint="eastAsia" w:ascii="宋体" w:hAnsi="宋体" w:eastAsia="宋体" w:cs="宋体"/>
          <w:sz w:val="24"/>
          <w:szCs w:val="24"/>
          <w:highlight w:val="none"/>
        </w:rPr>
        <w:t>，但在履行合同过程中如发现有任何遗漏和缺件，在清单中并未列入而且确实是卖方供货范围中应该有的，均应由卖方负责补足，且不发生费用。</w:t>
      </w:r>
    </w:p>
    <w:p w14:paraId="75834490">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 xml:space="preserve">1.4 </w:t>
      </w:r>
      <w:r>
        <w:rPr>
          <w:rFonts w:hint="eastAsia" w:ascii="宋体" w:hAnsi="宋体" w:eastAsia="宋体" w:cs="宋体"/>
          <w:sz w:val="24"/>
          <w:szCs w:val="24"/>
          <w:highlight w:val="none"/>
        </w:rPr>
        <w:t>服务系指根据合同的规定，卖方应提供的与所供货物有关的辅助服务，如运输、装卸、保险、安装调试、技术援助、人员培训、售后服务等以及合同中规定的卖方应承担的其他义务。</w:t>
      </w:r>
    </w:p>
    <w:p w14:paraId="46298C97">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 xml:space="preserve">1.5 </w:t>
      </w:r>
      <w:r>
        <w:rPr>
          <w:rFonts w:hint="eastAsia" w:ascii="宋体" w:hAnsi="宋体" w:eastAsia="宋体" w:cs="宋体"/>
          <w:sz w:val="24"/>
          <w:szCs w:val="24"/>
          <w:highlight w:val="none"/>
        </w:rPr>
        <w:t>“天”系指日历天数。</w:t>
      </w:r>
    </w:p>
    <w:p w14:paraId="39708D37">
      <w:pPr>
        <w:keepNext w:val="0"/>
        <w:keepLines w:val="0"/>
        <w:pageBreakBefore w:val="0"/>
        <w:widowControl w:val="0"/>
        <w:kinsoku/>
        <w:wordWrap/>
        <w:overflowPunct/>
        <w:topLinePunct w:val="0"/>
        <w:autoSpaceDE/>
        <w:autoSpaceDN/>
        <w:bidi w:val="0"/>
        <w:adjustRightInd/>
        <w:snapToGrid/>
        <w:spacing w:before="157" w:beforeLines="50" w:line="400" w:lineRule="exact"/>
        <w:ind w:firstLine="482" w:firstLineChars="200"/>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lang w:val="en-US" w:eastAsia="zh-CN"/>
        </w:rPr>
        <w:t>2.</w:t>
      </w:r>
      <w:r>
        <w:rPr>
          <w:rFonts w:hint="eastAsia" w:ascii="宋体" w:hAnsi="宋体" w:eastAsia="宋体" w:cs="宋体"/>
          <w:b/>
          <w:bCs/>
          <w:sz w:val="24"/>
          <w:szCs w:val="24"/>
          <w:highlight w:val="none"/>
        </w:rPr>
        <w:t>适用性</w:t>
      </w:r>
    </w:p>
    <w:p w14:paraId="16A89A9C">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本合同条款适用于未被合同其他部分规定所取代的范围，如出现合同其他部分规定与本合同条款不一致，以本合同条款约定优先适用。</w:t>
      </w:r>
    </w:p>
    <w:p w14:paraId="5B8AB323">
      <w:pPr>
        <w:keepNext w:val="0"/>
        <w:keepLines w:val="0"/>
        <w:pageBreakBefore w:val="0"/>
        <w:widowControl w:val="0"/>
        <w:kinsoku/>
        <w:wordWrap/>
        <w:overflowPunct/>
        <w:topLinePunct w:val="0"/>
        <w:autoSpaceDE/>
        <w:autoSpaceDN/>
        <w:bidi w:val="0"/>
        <w:adjustRightInd/>
        <w:snapToGrid/>
        <w:spacing w:before="157" w:beforeLines="50" w:line="400" w:lineRule="exact"/>
        <w:ind w:firstLine="482" w:firstLineChars="200"/>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3</w:t>
      </w:r>
      <w:r>
        <w:rPr>
          <w:rFonts w:hint="eastAsia" w:ascii="宋体" w:hAnsi="宋体" w:eastAsia="宋体" w:cs="宋体"/>
          <w:b/>
          <w:bCs/>
          <w:sz w:val="24"/>
          <w:szCs w:val="24"/>
          <w:highlight w:val="none"/>
          <w:lang w:val="en-US" w:eastAsia="zh-CN"/>
        </w:rPr>
        <w:t>.</w:t>
      </w:r>
      <w:r>
        <w:rPr>
          <w:rFonts w:hint="eastAsia" w:ascii="宋体" w:hAnsi="宋体" w:eastAsia="宋体" w:cs="宋体"/>
          <w:b/>
          <w:bCs/>
          <w:sz w:val="24"/>
          <w:szCs w:val="24"/>
          <w:highlight w:val="none"/>
        </w:rPr>
        <w:t>适用法律</w:t>
      </w:r>
    </w:p>
    <w:p w14:paraId="7E46EF0A">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本合同的适用法律为中华人民共和国的现行法律、法规。</w:t>
      </w:r>
    </w:p>
    <w:p w14:paraId="549CA8D6">
      <w:pPr>
        <w:spacing w:line="420" w:lineRule="exact"/>
        <w:ind w:firstLine="480" w:firstLineChars="200"/>
        <w:rPr>
          <w:rFonts w:ascii="黑体" w:hAnsi="Calibri" w:eastAsia="黑体"/>
          <w:sz w:val="24"/>
          <w:szCs w:val="24"/>
        </w:rPr>
      </w:pPr>
      <w:r>
        <w:rPr>
          <w:rFonts w:hint="eastAsia" w:ascii="黑体" w:hAnsi="Calibri" w:eastAsia="黑体"/>
          <w:sz w:val="24"/>
          <w:szCs w:val="24"/>
          <w:lang w:val="en-US" w:eastAsia="zh-CN"/>
        </w:rPr>
        <w:t>4.</w:t>
      </w:r>
      <w:r>
        <w:rPr>
          <w:rFonts w:hint="eastAsia" w:ascii="黑体" w:hAnsi="Calibri" w:eastAsia="黑体"/>
          <w:sz w:val="24"/>
          <w:szCs w:val="24"/>
        </w:rPr>
        <w:t>适用语言和计量单位</w:t>
      </w:r>
    </w:p>
    <w:p w14:paraId="5C85DB1F">
      <w:pPr>
        <w:spacing w:line="420" w:lineRule="exact"/>
        <w:ind w:firstLine="480" w:firstLineChars="200"/>
        <w:rPr>
          <w:rFonts w:ascii="Calibri" w:hAnsi="Calibri"/>
          <w:sz w:val="24"/>
          <w:szCs w:val="24"/>
        </w:rPr>
      </w:pPr>
      <w:r>
        <w:rPr>
          <w:rFonts w:ascii="Calibri" w:hAnsi="Calibri"/>
          <w:sz w:val="24"/>
          <w:szCs w:val="24"/>
        </w:rPr>
        <w:t>4.1</w:t>
      </w:r>
      <w:r>
        <w:rPr>
          <w:rFonts w:hint="eastAsia" w:ascii="Calibri" w:hAnsi="Calibri"/>
          <w:sz w:val="24"/>
          <w:szCs w:val="24"/>
        </w:rPr>
        <w:t xml:space="preserve">  本合同的适用语言为中文，所有与本合同有关的来往函件、通知及其他文件均应使用中文。</w:t>
      </w:r>
    </w:p>
    <w:p w14:paraId="704DA729">
      <w:pPr>
        <w:spacing w:line="420" w:lineRule="exact"/>
        <w:ind w:firstLine="480" w:firstLineChars="200"/>
        <w:rPr>
          <w:rFonts w:hint="eastAsia"/>
        </w:rPr>
      </w:pPr>
      <w:r>
        <w:rPr>
          <w:rFonts w:ascii="Calibri" w:hAnsi="Calibri"/>
          <w:sz w:val="24"/>
          <w:szCs w:val="24"/>
        </w:rPr>
        <w:t>4.2</w:t>
      </w:r>
      <w:r>
        <w:rPr>
          <w:rFonts w:hint="eastAsia" w:ascii="Calibri" w:hAnsi="Calibri"/>
          <w:sz w:val="24"/>
          <w:szCs w:val="24"/>
        </w:rPr>
        <w:t xml:space="preserve">  除另有规定外，计量单位应采用中华人民共和国法定计量单位。</w:t>
      </w:r>
    </w:p>
    <w:p w14:paraId="51A464B7">
      <w:pPr>
        <w:keepNext w:val="0"/>
        <w:keepLines w:val="0"/>
        <w:pageBreakBefore w:val="0"/>
        <w:widowControl w:val="0"/>
        <w:kinsoku/>
        <w:wordWrap/>
        <w:overflowPunct/>
        <w:topLinePunct w:val="0"/>
        <w:autoSpaceDE/>
        <w:autoSpaceDN/>
        <w:bidi w:val="0"/>
        <w:adjustRightInd/>
        <w:snapToGrid/>
        <w:spacing w:before="157" w:beforeLines="50" w:line="400" w:lineRule="exact"/>
        <w:ind w:firstLine="482" w:firstLineChars="200"/>
        <w:textAlignment w:val="auto"/>
        <w:rPr>
          <w:rFonts w:hint="eastAsia" w:ascii="宋体" w:hAnsi="宋体" w:eastAsia="宋体" w:cs="宋体"/>
          <w:b/>
          <w:bCs/>
          <w:sz w:val="24"/>
          <w:szCs w:val="24"/>
          <w:highlight w:val="none"/>
        </w:rPr>
      </w:pPr>
      <w:r>
        <w:rPr>
          <w:rFonts w:hint="eastAsia" w:ascii="宋体" w:hAnsi="宋体" w:cs="宋体"/>
          <w:b/>
          <w:bCs/>
          <w:sz w:val="24"/>
          <w:szCs w:val="24"/>
          <w:highlight w:val="none"/>
          <w:lang w:val="en-US" w:eastAsia="zh-CN"/>
        </w:rPr>
        <w:t>5</w:t>
      </w:r>
      <w:r>
        <w:rPr>
          <w:rFonts w:hint="eastAsia" w:ascii="宋体" w:hAnsi="宋体" w:eastAsia="宋体" w:cs="宋体"/>
          <w:b/>
          <w:bCs/>
          <w:sz w:val="24"/>
          <w:szCs w:val="24"/>
          <w:highlight w:val="none"/>
          <w:lang w:val="en-US" w:eastAsia="zh-CN"/>
        </w:rPr>
        <w:t>.</w:t>
      </w:r>
      <w:r>
        <w:rPr>
          <w:rFonts w:hint="eastAsia" w:ascii="宋体" w:hAnsi="宋体" w:eastAsia="宋体" w:cs="宋体"/>
          <w:b/>
          <w:bCs/>
          <w:sz w:val="24"/>
          <w:szCs w:val="24"/>
          <w:highlight w:val="none"/>
        </w:rPr>
        <w:t>原产地</w:t>
      </w:r>
    </w:p>
    <w:p w14:paraId="5B3CF1B9">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5</w:t>
      </w:r>
      <w:r>
        <w:rPr>
          <w:rFonts w:hint="eastAsia" w:ascii="宋体" w:hAnsi="宋体" w:eastAsia="宋体" w:cs="宋体"/>
          <w:sz w:val="24"/>
          <w:szCs w:val="24"/>
          <w:highlight w:val="none"/>
        </w:rPr>
        <w:t>.1 本条所述的“原产地”系指货物的开采、生长或生产地，或者为所供服务的来源地。经过制造、加工的产品或经过实质上组装主要元部件而形成的产品均可称为货物。商业上公认的新产品是指在基本特征、目的或功能上与</w:t>
      </w:r>
      <w:r>
        <w:rPr>
          <w:rFonts w:hint="eastAsia" w:ascii="宋体" w:hAnsi="宋体" w:cs="宋体"/>
          <w:sz w:val="24"/>
          <w:szCs w:val="24"/>
          <w:highlight w:val="none"/>
          <w:lang w:val="en-US" w:eastAsia="zh-CN"/>
        </w:rPr>
        <w:t>元</w:t>
      </w:r>
      <w:r>
        <w:rPr>
          <w:rFonts w:hint="eastAsia" w:ascii="宋体" w:hAnsi="宋体" w:eastAsia="宋体" w:cs="宋体"/>
          <w:sz w:val="24"/>
          <w:szCs w:val="24"/>
          <w:highlight w:val="none"/>
        </w:rPr>
        <w:t>部件有实质性区别的产品。</w:t>
      </w:r>
    </w:p>
    <w:p w14:paraId="757A92D2">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5</w:t>
      </w:r>
      <w:r>
        <w:rPr>
          <w:rFonts w:hint="eastAsia" w:ascii="宋体" w:hAnsi="宋体" w:eastAsia="宋体" w:cs="宋体"/>
          <w:sz w:val="24"/>
          <w:szCs w:val="24"/>
          <w:highlight w:val="none"/>
        </w:rPr>
        <w:t>.2</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rPr>
        <w:t>货物和服务的原产地有别于卖方的国籍。</w:t>
      </w:r>
    </w:p>
    <w:p w14:paraId="128D99CA">
      <w:pPr>
        <w:keepNext w:val="0"/>
        <w:keepLines w:val="0"/>
        <w:pageBreakBefore w:val="0"/>
        <w:widowControl w:val="0"/>
        <w:kinsoku/>
        <w:wordWrap/>
        <w:overflowPunct/>
        <w:topLinePunct w:val="0"/>
        <w:autoSpaceDE/>
        <w:autoSpaceDN/>
        <w:bidi w:val="0"/>
        <w:adjustRightInd/>
        <w:snapToGrid/>
        <w:spacing w:before="157" w:beforeLines="50" w:line="400" w:lineRule="exact"/>
        <w:ind w:firstLine="482" w:firstLineChars="200"/>
        <w:textAlignment w:val="auto"/>
        <w:rPr>
          <w:rFonts w:hint="eastAsia" w:ascii="宋体" w:hAnsi="宋体" w:eastAsia="宋体" w:cs="宋体"/>
          <w:sz w:val="24"/>
          <w:szCs w:val="24"/>
          <w:highlight w:val="none"/>
        </w:rPr>
      </w:pPr>
      <w:r>
        <w:rPr>
          <w:rFonts w:hint="eastAsia" w:ascii="宋体" w:hAnsi="宋体" w:cs="宋体"/>
          <w:b/>
          <w:bCs/>
          <w:sz w:val="24"/>
          <w:szCs w:val="24"/>
          <w:highlight w:val="none"/>
          <w:lang w:val="en-US" w:eastAsia="zh-CN"/>
        </w:rPr>
        <w:t>6</w:t>
      </w:r>
      <w:r>
        <w:rPr>
          <w:rFonts w:hint="eastAsia" w:ascii="宋体" w:hAnsi="宋体" w:eastAsia="宋体" w:cs="宋体"/>
          <w:b/>
          <w:bCs/>
          <w:sz w:val="24"/>
          <w:szCs w:val="24"/>
          <w:highlight w:val="none"/>
          <w:lang w:val="en-US" w:eastAsia="zh-CN"/>
        </w:rPr>
        <w:t>.</w:t>
      </w:r>
      <w:r>
        <w:rPr>
          <w:rFonts w:hint="eastAsia" w:ascii="宋体" w:hAnsi="宋体" w:eastAsia="宋体" w:cs="宋体"/>
          <w:b/>
          <w:bCs/>
          <w:sz w:val="24"/>
          <w:szCs w:val="24"/>
          <w:highlight w:val="none"/>
        </w:rPr>
        <w:t>标准和规</w:t>
      </w:r>
      <w:r>
        <w:rPr>
          <w:rFonts w:hint="eastAsia" w:ascii="宋体" w:hAnsi="宋体" w:eastAsia="宋体" w:cs="宋体"/>
          <w:sz w:val="24"/>
          <w:szCs w:val="24"/>
          <w:highlight w:val="none"/>
        </w:rPr>
        <w:t>格</w:t>
      </w:r>
    </w:p>
    <w:p w14:paraId="5B70FF21">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6</w:t>
      </w:r>
      <w:r>
        <w:rPr>
          <w:rFonts w:hint="eastAsia" w:ascii="宋体" w:hAnsi="宋体" w:eastAsia="宋体" w:cs="宋体"/>
          <w:sz w:val="24"/>
          <w:szCs w:val="24"/>
          <w:highlight w:val="none"/>
        </w:rPr>
        <w:t>.1 本合同下交付的货物应与招标文件中规定的“设备选型设计说明”、“技术性能及服务条款”和其附件及其投标（响应）文件的规格偏差表（如有的话）相一致。如果在“设备选型设计说明”、“技术性能及服务条款”和其附件中没有提及适用标准或技术规范说明不明确的，则应符合货物原产地适用的官方标准。这些标准必须是有关机构发布的最新版本的标准。</w:t>
      </w:r>
    </w:p>
    <w:p w14:paraId="05E5285B">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6</w:t>
      </w:r>
      <w:r>
        <w:rPr>
          <w:rFonts w:hint="eastAsia" w:ascii="宋体" w:hAnsi="宋体" w:eastAsia="宋体" w:cs="宋体"/>
          <w:sz w:val="24"/>
          <w:szCs w:val="24"/>
          <w:highlight w:val="none"/>
        </w:rPr>
        <w:t>.2</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rPr>
        <w:t>本合同下提供的运输、保险、安装调试、质量保证（修）等服务，应符合招标文件和合同规定的要求以及中华人民共和国现行国家标准、行业标准或地方标准中要求高的标准。</w:t>
      </w:r>
    </w:p>
    <w:p w14:paraId="51AEF9A1">
      <w:pPr>
        <w:keepNext w:val="0"/>
        <w:keepLines w:val="0"/>
        <w:pageBreakBefore w:val="0"/>
        <w:widowControl w:val="0"/>
        <w:kinsoku/>
        <w:wordWrap/>
        <w:overflowPunct/>
        <w:topLinePunct w:val="0"/>
        <w:autoSpaceDE/>
        <w:autoSpaceDN/>
        <w:bidi w:val="0"/>
        <w:adjustRightInd/>
        <w:snapToGrid/>
        <w:spacing w:before="157" w:beforeLines="50" w:line="400" w:lineRule="exact"/>
        <w:ind w:firstLine="482" w:firstLineChars="200"/>
        <w:textAlignment w:val="auto"/>
        <w:rPr>
          <w:rFonts w:hint="eastAsia" w:ascii="宋体" w:hAnsi="宋体" w:eastAsia="宋体" w:cs="宋体"/>
          <w:b/>
          <w:bCs/>
          <w:sz w:val="24"/>
          <w:szCs w:val="24"/>
          <w:highlight w:val="none"/>
        </w:rPr>
      </w:pPr>
      <w:r>
        <w:rPr>
          <w:rFonts w:hint="eastAsia" w:ascii="宋体" w:hAnsi="宋体" w:cs="宋体"/>
          <w:b/>
          <w:bCs/>
          <w:sz w:val="24"/>
          <w:szCs w:val="24"/>
          <w:highlight w:val="none"/>
          <w:lang w:val="en-US" w:eastAsia="zh-CN"/>
        </w:rPr>
        <w:t>7</w:t>
      </w:r>
      <w:r>
        <w:rPr>
          <w:rFonts w:hint="eastAsia" w:ascii="宋体" w:hAnsi="宋体" w:eastAsia="宋体" w:cs="宋体"/>
          <w:b/>
          <w:bCs/>
          <w:sz w:val="24"/>
          <w:szCs w:val="24"/>
          <w:highlight w:val="none"/>
          <w:lang w:val="en-US" w:eastAsia="zh-CN"/>
        </w:rPr>
        <w:t>.</w:t>
      </w:r>
      <w:r>
        <w:rPr>
          <w:rFonts w:hint="eastAsia" w:ascii="宋体" w:hAnsi="宋体" w:eastAsia="宋体" w:cs="宋体"/>
          <w:b/>
          <w:bCs/>
          <w:sz w:val="24"/>
          <w:szCs w:val="24"/>
          <w:highlight w:val="none"/>
        </w:rPr>
        <w:t>专利权</w:t>
      </w:r>
    </w:p>
    <w:p w14:paraId="69767F22">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卖方应保证买方在使用该货物或其任何一部分时，免受第三方提出侵犯其专利权、商标权或工业设计权的起诉。任何第三方如果提出侵权指控，卖方必须与第三方交涉并承担可能发生的一切法律责任和费用。</w:t>
      </w:r>
    </w:p>
    <w:p w14:paraId="634B234D">
      <w:pPr>
        <w:keepNext w:val="0"/>
        <w:keepLines w:val="0"/>
        <w:pageBreakBefore w:val="0"/>
        <w:widowControl w:val="0"/>
        <w:kinsoku/>
        <w:wordWrap/>
        <w:overflowPunct/>
        <w:topLinePunct w:val="0"/>
        <w:autoSpaceDE/>
        <w:autoSpaceDN/>
        <w:bidi w:val="0"/>
        <w:adjustRightInd/>
        <w:snapToGrid/>
        <w:spacing w:before="157" w:beforeLines="50" w:line="400" w:lineRule="exact"/>
        <w:ind w:firstLine="482" w:firstLineChars="200"/>
        <w:textAlignment w:val="auto"/>
        <w:rPr>
          <w:rFonts w:hint="eastAsia" w:ascii="宋体" w:hAnsi="宋体" w:eastAsia="宋体" w:cs="宋体"/>
          <w:b/>
          <w:bCs/>
          <w:sz w:val="24"/>
          <w:szCs w:val="24"/>
          <w:highlight w:val="none"/>
        </w:rPr>
      </w:pPr>
      <w:r>
        <w:rPr>
          <w:rFonts w:hint="eastAsia" w:ascii="宋体" w:hAnsi="宋体" w:cs="宋体"/>
          <w:b/>
          <w:bCs/>
          <w:sz w:val="24"/>
          <w:szCs w:val="24"/>
          <w:highlight w:val="none"/>
          <w:lang w:val="en-US" w:eastAsia="zh-CN"/>
        </w:rPr>
        <w:t>8</w:t>
      </w:r>
      <w:r>
        <w:rPr>
          <w:rFonts w:hint="eastAsia" w:ascii="宋体" w:hAnsi="宋体" w:eastAsia="宋体" w:cs="宋体"/>
          <w:b/>
          <w:bCs/>
          <w:sz w:val="24"/>
          <w:szCs w:val="24"/>
          <w:highlight w:val="none"/>
          <w:lang w:val="en-US" w:eastAsia="zh-CN"/>
        </w:rPr>
        <w:t>.</w:t>
      </w:r>
      <w:r>
        <w:rPr>
          <w:rFonts w:hint="eastAsia" w:ascii="宋体" w:hAnsi="宋体" w:eastAsia="宋体" w:cs="宋体"/>
          <w:b/>
          <w:bCs/>
          <w:sz w:val="24"/>
          <w:szCs w:val="24"/>
          <w:highlight w:val="none"/>
        </w:rPr>
        <w:t>合同价格</w:t>
      </w:r>
    </w:p>
    <w:p w14:paraId="2B2B1A4F">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8</w:t>
      </w:r>
      <w:r>
        <w:rPr>
          <w:rFonts w:hint="eastAsia" w:ascii="宋体" w:hAnsi="宋体" w:eastAsia="宋体" w:cs="宋体"/>
          <w:sz w:val="24"/>
          <w:szCs w:val="24"/>
          <w:highlight w:val="none"/>
        </w:rPr>
        <w:t>.1</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rPr>
        <w:t>卖方在正确、完整地履行本合同规定的义务后，买方应向其支付“合同条款前附表”第4项所规定的合同价格。合同价格是卖方将货物运达买方指定的现场并安装调试合格直至交付使用且完成质量保证（修）义务的价格（其中包括卖方自制的或外购的全部设备、材料的价格，随货物提供的备品备件及专用工具的价格），包括设备成本（含备品备件费）、包装费、装卸费、运输费、劳务费、供销部门手续费、环保费、安装部件费、安装调试费、检验和试验费、保险、利润、税金（也含关税、增值税）、人员培训和质量保证（修）等售后服务费、政策性文件规定及合同包含的所有风险、责任等各项应有费用；该合同价格在合同实施期间不因市场变化因素而变动。</w:t>
      </w:r>
    </w:p>
    <w:p w14:paraId="21D36FC7">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8</w:t>
      </w:r>
      <w:r>
        <w:rPr>
          <w:rFonts w:hint="eastAsia" w:ascii="宋体" w:hAnsi="宋体" w:eastAsia="宋体" w:cs="宋体"/>
          <w:sz w:val="24"/>
          <w:szCs w:val="24"/>
          <w:highlight w:val="none"/>
        </w:rPr>
        <w:t>.2 在货物安装、调试、验收过程中，如发现有漏洞、缺件，卖方应无条件、无偿补齐，所发生的费用视为已在合同价格之中，且不因此而影响交付买方使用的时间。</w:t>
      </w:r>
    </w:p>
    <w:p w14:paraId="1FA4651E">
      <w:pPr>
        <w:keepNext w:val="0"/>
        <w:keepLines w:val="0"/>
        <w:pageBreakBefore w:val="0"/>
        <w:widowControl w:val="0"/>
        <w:kinsoku/>
        <w:wordWrap/>
        <w:overflowPunct/>
        <w:topLinePunct w:val="0"/>
        <w:autoSpaceDE/>
        <w:autoSpaceDN/>
        <w:bidi w:val="0"/>
        <w:adjustRightInd/>
        <w:snapToGrid/>
        <w:spacing w:before="157" w:beforeLines="50" w:line="400" w:lineRule="exact"/>
        <w:ind w:firstLine="482" w:firstLineChars="200"/>
        <w:textAlignment w:val="auto"/>
        <w:rPr>
          <w:rFonts w:hint="eastAsia" w:ascii="宋体" w:hAnsi="宋体" w:eastAsia="宋体" w:cs="宋体"/>
          <w:b/>
          <w:bCs/>
          <w:sz w:val="24"/>
          <w:szCs w:val="24"/>
          <w:highlight w:val="none"/>
        </w:rPr>
      </w:pPr>
      <w:r>
        <w:rPr>
          <w:rFonts w:hint="eastAsia" w:ascii="宋体" w:hAnsi="宋体" w:cs="宋体"/>
          <w:b/>
          <w:bCs/>
          <w:sz w:val="24"/>
          <w:szCs w:val="24"/>
          <w:highlight w:val="none"/>
          <w:lang w:val="en-US" w:eastAsia="zh-CN"/>
        </w:rPr>
        <w:t>9</w:t>
      </w:r>
      <w:r>
        <w:rPr>
          <w:rFonts w:hint="eastAsia" w:ascii="宋体" w:hAnsi="宋体" w:eastAsia="宋体" w:cs="宋体"/>
          <w:b/>
          <w:bCs/>
          <w:sz w:val="24"/>
          <w:szCs w:val="24"/>
          <w:highlight w:val="none"/>
          <w:lang w:val="en-US" w:eastAsia="zh-CN"/>
        </w:rPr>
        <w:t>.</w:t>
      </w:r>
      <w:r>
        <w:rPr>
          <w:rFonts w:hint="eastAsia" w:ascii="宋体" w:hAnsi="宋体" w:eastAsia="宋体" w:cs="宋体"/>
          <w:b/>
          <w:bCs/>
          <w:sz w:val="24"/>
          <w:szCs w:val="24"/>
          <w:highlight w:val="none"/>
        </w:rPr>
        <w:t>保险</w:t>
      </w:r>
    </w:p>
    <w:p w14:paraId="0C491B1E">
      <w:pPr>
        <w:pageBreakBefore w:val="0"/>
        <w:kinsoku/>
        <w:wordWrap/>
        <w:topLinePunct w:val="0"/>
        <w:bidi w:val="0"/>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w:t>
      </w:r>
      <w:r>
        <w:rPr>
          <w:rFonts w:hint="eastAsia" w:ascii="宋体" w:hAnsi="宋体" w:cs="宋体"/>
          <w:sz w:val="24"/>
          <w:szCs w:val="24"/>
          <w:highlight w:val="none"/>
          <w:lang w:val="en-US" w:eastAsia="zh-CN"/>
        </w:rPr>
        <w:t>9</w:t>
      </w:r>
      <w:r>
        <w:rPr>
          <w:rFonts w:hint="eastAsia" w:ascii="宋体" w:hAnsi="宋体" w:eastAsia="宋体" w:cs="宋体"/>
          <w:sz w:val="24"/>
          <w:szCs w:val="24"/>
          <w:highlight w:val="none"/>
        </w:rPr>
        <w:t>.1</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rPr>
        <w:t>卖方应负责办理货物从出厂地运抵项目现场途中（包括装卸）的保险，并支付相关费用。</w:t>
      </w:r>
    </w:p>
    <w:p w14:paraId="6316EB47">
      <w:pPr>
        <w:pageBreakBefore w:val="0"/>
        <w:kinsoku/>
        <w:wordWrap/>
        <w:topLinePunct w:val="0"/>
        <w:bidi w:val="0"/>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w:t>
      </w:r>
      <w:r>
        <w:rPr>
          <w:rFonts w:hint="eastAsia" w:ascii="宋体" w:hAnsi="宋体" w:eastAsia="宋体" w:cs="宋体"/>
          <w:sz w:val="24"/>
          <w:szCs w:val="24"/>
          <w:highlight w:val="none"/>
          <w:lang w:val="en-US" w:eastAsia="zh-CN"/>
        </w:rPr>
        <w:t xml:space="preserve"> </w:t>
      </w:r>
      <w:r>
        <w:rPr>
          <w:rFonts w:hint="eastAsia" w:ascii="宋体" w:hAnsi="宋体" w:cs="宋体"/>
          <w:sz w:val="24"/>
          <w:szCs w:val="24"/>
          <w:highlight w:val="none"/>
          <w:lang w:val="en-US" w:eastAsia="zh-CN"/>
        </w:rPr>
        <w:t>9</w:t>
      </w:r>
      <w:r>
        <w:rPr>
          <w:rFonts w:hint="eastAsia" w:ascii="宋体" w:hAnsi="宋体" w:eastAsia="宋体" w:cs="宋体"/>
          <w:sz w:val="24"/>
          <w:szCs w:val="24"/>
          <w:highlight w:val="none"/>
        </w:rPr>
        <w:t>.2</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rPr>
        <w:t>卖方承担了所供货物的安装调试施工服务，即为专项交钥匙工程，卖方应充分考虑在最终验收移交前可能发生的潜在的各类风险，并自行办理相关工程、设备、人员的投保，因为安装调试施工中的安全由卖方自行负责。</w:t>
      </w:r>
    </w:p>
    <w:p w14:paraId="673F4999">
      <w:pPr>
        <w:keepNext w:val="0"/>
        <w:keepLines w:val="0"/>
        <w:pageBreakBefore w:val="0"/>
        <w:widowControl w:val="0"/>
        <w:kinsoku/>
        <w:wordWrap/>
        <w:overflowPunct/>
        <w:topLinePunct w:val="0"/>
        <w:autoSpaceDE/>
        <w:autoSpaceDN/>
        <w:bidi w:val="0"/>
        <w:adjustRightInd/>
        <w:snapToGrid/>
        <w:spacing w:before="157" w:beforeLines="50" w:line="400" w:lineRule="exact"/>
        <w:ind w:firstLine="482" w:firstLineChars="200"/>
        <w:textAlignment w:val="auto"/>
        <w:rPr>
          <w:rFonts w:hint="eastAsia" w:ascii="宋体" w:hAnsi="宋体" w:eastAsia="宋体" w:cs="宋体"/>
          <w:b/>
          <w:bCs/>
          <w:sz w:val="24"/>
          <w:szCs w:val="24"/>
          <w:highlight w:val="none"/>
        </w:rPr>
      </w:pPr>
      <w:r>
        <w:rPr>
          <w:rFonts w:hint="eastAsia" w:ascii="宋体" w:hAnsi="宋体" w:cs="宋体"/>
          <w:b/>
          <w:bCs/>
          <w:sz w:val="24"/>
          <w:szCs w:val="24"/>
          <w:highlight w:val="none"/>
          <w:lang w:val="en-US" w:eastAsia="zh-CN"/>
        </w:rPr>
        <w:t>10</w:t>
      </w:r>
      <w:r>
        <w:rPr>
          <w:rFonts w:hint="eastAsia" w:ascii="宋体" w:hAnsi="宋体" w:eastAsia="宋体" w:cs="宋体"/>
          <w:b/>
          <w:bCs/>
          <w:sz w:val="24"/>
          <w:szCs w:val="24"/>
          <w:highlight w:val="none"/>
          <w:lang w:val="en-US" w:eastAsia="zh-CN"/>
        </w:rPr>
        <w:t>.</w:t>
      </w:r>
      <w:r>
        <w:rPr>
          <w:rFonts w:hint="eastAsia" w:ascii="宋体" w:hAnsi="宋体" w:eastAsia="宋体" w:cs="宋体"/>
          <w:b/>
          <w:bCs/>
          <w:sz w:val="24"/>
          <w:szCs w:val="24"/>
          <w:highlight w:val="none"/>
        </w:rPr>
        <w:t>包装要求</w:t>
      </w:r>
    </w:p>
    <w:p w14:paraId="74A7EDCC">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10</w:t>
      </w:r>
      <w:r>
        <w:rPr>
          <w:rFonts w:hint="eastAsia" w:ascii="宋体" w:hAnsi="宋体" w:eastAsia="宋体" w:cs="宋体"/>
          <w:sz w:val="24"/>
          <w:szCs w:val="24"/>
          <w:highlight w:val="none"/>
        </w:rPr>
        <w:t>.1</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rPr>
        <w:t>除在合同中另有规定外，卖方提供的全部货物均应按国家标准保护措施进行包装，这类包装应适应于远距离运输，并能防淋、防晒、防潮、防震、防锈和防野蛮装卸，以确保货物安全无损地运抵项目现场。</w:t>
      </w:r>
    </w:p>
    <w:p w14:paraId="6D9391A1">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10</w:t>
      </w:r>
      <w:r>
        <w:rPr>
          <w:rFonts w:hint="eastAsia" w:ascii="宋体" w:hAnsi="宋体" w:eastAsia="宋体" w:cs="宋体"/>
          <w:sz w:val="24"/>
          <w:szCs w:val="24"/>
          <w:highlight w:val="none"/>
        </w:rPr>
        <w:t>.2 每一批货物均应附有详细的货物装箱单、质量证明书、检验合格证书、质保书等，进口产品应附有海关报关单（或成批设备进口报关单复印件），所有上述资料必须随货物一起提供给买方。</w:t>
      </w:r>
    </w:p>
    <w:p w14:paraId="2D3CC837">
      <w:pPr>
        <w:keepNext w:val="0"/>
        <w:keepLines w:val="0"/>
        <w:pageBreakBefore w:val="0"/>
        <w:widowControl w:val="0"/>
        <w:kinsoku/>
        <w:wordWrap/>
        <w:overflowPunct/>
        <w:topLinePunct w:val="0"/>
        <w:autoSpaceDE/>
        <w:autoSpaceDN/>
        <w:bidi w:val="0"/>
        <w:adjustRightInd/>
        <w:snapToGrid/>
        <w:spacing w:before="157" w:beforeLines="50" w:line="400" w:lineRule="exact"/>
        <w:ind w:firstLine="482" w:firstLineChars="200"/>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1</w:t>
      </w:r>
      <w:r>
        <w:rPr>
          <w:rFonts w:hint="eastAsia" w:ascii="宋体" w:hAnsi="宋体" w:cs="宋体"/>
          <w:b/>
          <w:bCs/>
          <w:sz w:val="24"/>
          <w:szCs w:val="24"/>
          <w:highlight w:val="none"/>
          <w:lang w:val="en-US" w:eastAsia="zh-CN"/>
        </w:rPr>
        <w:t>1</w:t>
      </w:r>
      <w:r>
        <w:rPr>
          <w:rFonts w:hint="eastAsia" w:ascii="宋体" w:hAnsi="宋体" w:eastAsia="宋体" w:cs="宋体"/>
          <w:b/>
          <w:bCs/>
          <w:sz w:val="24"/>
          <w:szCs w:val="24"/>
          <w:highlight w:val="none"/>
          <w:lang w:val="en-US" w:eastAsia="zh-CN"/>
        </w:rPr>
        <w:t>.</w:t>
      </w:r>
      <w:r>
        <w:rPr>
          <w:rFonts w:hint="eastAsia" w:ascii="宋体" w:hAnsi="宋体" w:eastAsia="宋体" w:cs="宋体"/>
          <w:b/>
          <w:bCs/>
          <w:sz w:val="24"/>
          <w:szCs w:val="24"/>
          <w:highlight w:val="none"/>
        </w:rPr>
        <w:t>包装标志</w:t>
      </w:r>
    </w:p>
    <w:p w14:paraId="540D493A">
      <w:pPr>
        <w:pageBreakBefore w:val="0"/>
        <w:kinsoku/>
        <w:wordWrap/>
        <w:topLinePunct w:val="0"/>
        <w:bidi w:val="0"/>
        <w:spacing w:line="400" w:lineRule="exact"/>
        <w:ind w:firstLine="480" w:firstLineChars="200"/>
        <w:rPr>
          <w:rFonts w:hint="eastAsia" w:ascii="Times New Roman" w:hAnsi="Times New Roman" w:eastAsia="宋体" w:cs="Times New Roman"/>
          <w:kern w:val="2"/>
          <w:sz w:val="21"/>
          <w:szCs w:val="21"/>
          <w:highlight w:val="none"/>
          <w:lang w:val="en-US" w:eastAsia="zh-CN" w:bidi="ar-SA"/>
        </w:rPr>
      </w:pPr>
      <w:r>
        <w:rPr>
          <w:rFonts w:hint="eastAsia" w:ascii="宋体" w:hAnsi="宋体" w:eastAsia="宋体" w:cs="宋体"/>
          <w:sz w:val="24"/>
          <w:szCs w:val="24"/>
          <w:highlight w:val="none"/>
        </w:rPr>
        <w:t>1</w:t>
      </w:r>
      <w:r>
        <w:rPr>
          <w:rFonts w:hint="eastAsia" w:ascii="宋体" w:hAnsi="宋体" w:cs="宋体"/>
          <w:sz w:val="24"/>
          <w:szCs w:val="24"/>
          <w:highlight w:val="none"/>
          <w:lang w:val="en-US" w:eastAsia="zh-CN"/>
        </w:rPr>
        <w:t>1</w:t>
      </w:r>
      <w:r>
        <w:rPr>
          <w:rFonts w:hint="eastAsia" w:ascii="宋体" w:hAnsi="宋体" w:eastAsia="宋体" w:cs="宋体"/>
          <w:sz w:val="24"/>
          <w:szCs w:val="24"/>
          <w:highlight w:val="none"/>
        </w:rPr>
        <w:t>.1</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rPr>
        <w:t>卖方应在每一包装箱的相邻四侧用不褪色的油漆以醒目的中文字样标出每一批货物应标明的包装标志。</w:t>
      </w:r>
    </w:p>
    <w:p w14:paraId="7F69187B">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ascii="宋体" w:hAnsi="宋体" w:cs="宋体"/>
          <w:sz w:val="24"/>
          <w:szCs w:val="24"/>
          <w:highlight w:val="none"/>
          <w:lang w:val="en-US" w:eastAsia="zh-CN"/>
        </w:rPr>
        <w:t>1</w:t>
      </w:r>
      <w:r>
        <w:rPr>
          <w:rFonts w:hint="eastAsia" w:ascii="宋体" w:hAnsi="宋体" w:eastAsia="宋体" w:cs="宋体"/>
          <w:sz w:val="24"/>
          <w:szCs w:val="24"/>
          <w:highlight w:val="none"/>
        </w:rPr>
        <w:t>.2</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rPr>
        <w:t>根据货物的特点和运输的不同要求，卖方应在包装箱上清楚地标出“小心轻放”、“请勿倒置”和“防潮”等字样以及其它适当的标志。</w:t>
      </w:r>
    </w:p>
    <w:p w14:paraId="6CAF933F">
      <w:pPr>
        <w:keepNext w:val="0"/>
        <w:keepLines w:val="0"/>
        <w:pageBreakBefore w:val="0"/>
        <w:widowControl w:val="0"/>
        <w:kinsoku/>
        <w:wordWrap/>
        <w:overflowPunct/>
        <w:topLinePunct w:val="0"/>
        <w:autoSpaceDE/>
        <w:autoSpaceDN/>
        <w:bidi w:val="0"/>
        <w:adjustRightInd/>
        <w:snapToGrid/>
        <w:spacing w:before="157" w:beforeLines="50" w:line="400" w:lineRule="exact"/>
        <w:ind w:firstLine="482" w:firstLineChars="200"/>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1</w:t>
      </w:r>
      <w:r>
        <w:rPr>
          <w:rFonts w:hint="eastAsia" w:ascii="宋体" w:hAnsi="宋体" w:cs="宋体"/>
          <w:b/>
          <w:bCs/>
          <w:sz w:val="24"/>
          <w:szCs w:val="24"/>
          <w:highlight w:val="none"/>
          <w:lang w:val="en-US" w:eastAsia="zh-CN"/>
        </w:rPr>
        <w:t>2</w:t>
      </w:r>
      <w:r>
        <w:rPr>
          <w:rFonts w:hint="eastAsia" w:ascii="宋体" w:hAnsi="宋体" w:eastAsia="宋体" w:cs="宋体"/>
          <w:b/>
          <w:bCs/>
          <w:sz w:val="24"/>
          <w:szCs w:val="24"/>
          <w:highlight w:val="none"/>
          <w:lang w:val="en-US" w:eastAsia="zh-CN"/>
        </w:rPr>
        <w:t>.</w:t>
      </w:r>
      <w:r>
        <w:rPr>
          <w:rFonts w:hint="eastAsia" w:ascii="宋体" w:hAnsi="宋体" w:eastAsia="宋体" w:cs="宋体"/>
          <w:b/>
          <w:bCs/>
          <w:sz w:val="24"/>
          <w:szCs w:val="24"/>
          <w:highlight w:val="none"/>
        </w:rPr>
        <w:t>装运条件</w:t>
      </w:r>
    </w:p>
    <w:p w14:paraId="28AED7E6">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ascii="宋体" w:hAnsi="宋体" w:cs="宋体"/>
          <w:sz w:val="24"/>
          <w:szCs w:val="24"/>
          <w:highlight w:val="none"/>
          <w:lang w:val="en-US" w:eastAsia="zh-CN"/>
        </w:rPr>
        <w:t>2</w:t>
      </w:r>
      <w:r>
        <w:rPr>
          <w:rFonts w:hint="eastAsia" w:ascii="宋体" w:hAnsi="宋体" w:eastAsia="宋体" w:cs="宋体"/>
          <w:sz w:val="24"/>
          <w:szCs w:val="24"/>
          <w:highlight w:val="none"/>
        </w:rPr>
        <w:t>.1 卖方应负责将货物从出厂地运抵买方指定的现场，并支付相关费用；</w:t>
      </w:r>
    </w:p>
    <w:p w14:paraId="3B5ED044">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ascii="宋体" w:hAnsi="宋体" w:cs="宋体"/>
          <w:sz w:val="24"/>
          <w:szCs w:val="24"/>
          <w:highlight w:val="none"/>
          <w:lang w:val="en-US" w:eastAsia="zh-CN"/>
        </w:rPr>
        <w:t>2</w:t>
      </w:r>
      <w:r>
        <w:rPr>
          <w:rFonts w:hint="eastAsia" w:ascii="宋体" w:hAnsi="宋体" w:eastAsia="宋体" w:cs="宋体"/>
          <w:sz w:val="24"/>
          <w:szCs w:val="24"/>
          <w:highlight w:val="none"/>
        </w:rPr>
        <w:t>.2 卖方装运的货物不应超过合同规定的数量或重量，否则，由此超装而导致的一切后果均应由卖方负责。</w:t>
      </w:r>
    </w:p>
    <w:p w14:paraId="6B2198B5">
      <w:pPr>
        <w:keepNext w:val="0"/>
        <w:keepLines w:val="0"/>
        <w:pageBreakBefore w:val="0"/>
        <w:widowControl w:val="0"/>
        <w:kinsoku/>
        <w:wordWrap/>
        <w:overflowPunct/>
        <w:topLinePunct w:val="0"/>
        <w:autoSpaceDE/>
        <w:autoSpaceDN/>
        <w:bidi w:val="0"/>
        <w:adjustRightInd/>
        <w:snapToGrid/>
        <w:spacing w:before="157" w:beforeLines="50" w:line="400" w:lineRule="exact"/>
        <w:ind w:firstLine="482" w:firstLineChars="200"/>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1</w:t>
      </w:r>
      <w:r>
        <w:rPr>
          <w:rFonts w:hint="eastAsia" w:ascii="宋体" w:hAnsi="宋体" w:cs="宋体"/>
          <w:b/>
          <w:bCs/>
          <w:sz w:val="24"/>
          <w:szCs w:val="24"/>
          <w:highlight w:val="none"/>
          <w:lang w:val="en-US" w:eastAsia="zh-CN"/>
        </w:rPr>
        <w:t>3</w:t>
      </w:r>
      <w:r>
        <w:rPr>
          <w:rFonts w:hint="eastAsia" w:ascii="宋体" w:hAnsi="宋体" w:eastAsia="宋体" w:cs="宋体"/>
          <w:b/>
          <w:bCs/>
          <w:sz w:val="24"/>
          <w:szCs w:val="24"/>
          <w:highlight w:val="none"/>
          <w:lang w:val="en-US" w:eastAsia="zh-CN"/>
        </w:rPr>
        <w:t>.</w:t>
      </w:r>
      <w:r>
        <w:rPr>
          <w:rFonts w:hint="eastAsia" w:ascii="宋体" w:hAnsi="宋体" w:eastAsia="宋体" w:cs="宋体"/>
          <w:b/>
          <w:bCs/>
          <w:sz w:val="24"/>
          <w:szCs w:val="24"/>
          <w:highlight w:val="none"/>
        </w:rPr>
        <w:t>装运通知</w:t>
      </w:r>
    </w:p>
    <w:p w14:paraId="6F3CFB05">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卖方应按下列要求发出装运通知：</w:t>
      </w:r>
    </w:p>
    <w:p w14:paraId="2FE1A6F2">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在合同规定的买方现场工程师书面指定的到货日期的七日之前，以传真或特快专递形式将合同号、货物名称、规格、数量、总重量等通知买方。</w:t>
      </w:r>
    </w:p>
    <w:p w14:paraId="72D6901E">
      <w:pPr>
        <w:keepNext w:val="0"/>
        <w:keepLines w:val="0"/>
        <w:pageBreakBefore w:val="0"/>
        <w:widowControl w:val="0"/>
        <w:kinsoku/>
        <w:wordWrap/>
        <w:overflowPunct/>
        <w:topLinePunct w:val="0"/>
        <w:autoSpaceDE/>
        <w:autoSpaceDN/>
        <w:bidi w:val="0"/>
        <w:adjustRightInd/>
        <w:snapToGrid/>
        <w:spacing w:before="157" w:beforeLines="50" w:line="400" w:lineRule="exact"/>
        <w:ind w:firstLine="482" w:firstLineChars="200"/>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1</w:t>
      </w:r>
      <w:r>
        <w:rPr>
          <w:rFonts w:hint="eastAsia" w:ascii="宋体" w:hAnsi="宋体" w:cs="宋体"/>
          <w:b/>
          <w:bCs/>
          <w:sz w:val="24"/>
          <w:szCs w:val="24"/>
          <w:highlight w:val="none"/>
          <w:lang w:val="en-US" w:eastAsia="zh-CN"/>
        </w:rPr>
        <w:t>4</w:t>
      </w:r>
      <w:r>
        <w:rPr>
          <w:rFonts w:hint="eastAsia" w:ascii="宋体" w:hAnsi="宋体" w:eastAsia="宋体" w:cs="宋体"/>
          <w:b/>
          <w:bCs/>
          <w:sz w:val="24"/>
          <w:szCs w:val="24"/>
          <w:highlight w:val="none"/>
          <w:lang w:val="en-US" w:eastAsia="zh-CN"/>
        </w:rPr>
        <w:t>.</w:t>
      </w:r>
      <w:r>
        <w:rPr>
          <w:rFonts w:hint="eastAsia" w:ascii="宋体" w:hAnsi="宋体" w:eastAsia="宋体" w:cs="宋体"/>
          <w:b/>
          <w:bCs/>
          <w:sz w:val="24"/>
          <w:szCs w:val="24"/>
          <w:highlight w:val="none"/>
        </w:rPr>
        <w:t>单据</w:t>
      </w:r>
    </w:p>
    <w:p w14:paraId="2DC8FDB9">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ascii="宋体" w:hAnsi="宋体" w:cs="宋体"/>
          <w:sz w:val="24"/>
          <w:szCs w:val="24"/>
          <w:highlight w:val="none"/>
          <w:lang w:val="en-US" w:eastAsia="zh-CN"/>
        </w:rPr>
        <w:t>4</w:t>
      </w:r>
      <w:r>
        <w:rPr>
          <w:rFonts w:hint="eastAsia" w:ascii="宋体" w:hAnsi="宋体" w:eastAsia="宋体" w:cs="宋体"/>
          <w:sz w:val="24"/>
          <w:szCs w:val="24"/>
          <w:highlight w:val="none"/>
        </w:rPr>
        <w:t>.1 卖方在合同生效后，货物全部送达项目现场后申请支付货款时，应提供下列单据：</w:t>
      </w:r>
    </w:p>
    <w:p w14:paraId="08C18371">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ascii="宋体" w:hAnsi="宋体" w:cs="宋体"/>
          <w:sz w:val="24"/>
          <w:szCs w:val="24"/>
          <w:highlight w:val="none"/>
          <w:lang w:val="en-US" w:eastAsia="zh-CN"/>
        </w:rPr>
        <w:t>4</w:t>
      </w:r>
      <w:r>
        <w:rPr>
          <w:rFonts w:hint="eastAsia" w:ascii="宋体" w:hAnsi="宋体" w:eastAsia="宋体" w:cs="宋体"/>
          <w:sz w:val="24"/>
          <w:szCs w:val="24"/>
          <w:highlight w:val="none"/>
        </w:rPr>
        <w:t>.1.1 金额与要求支付款项相符的</w:t>
      </w:r>
      <w:r>
        <w:rPr>
          <w:rFonts w:hint="eastAsia" w:ascii="宋体" w:hAnsi="宋体" w:cs="宋体"/>
          <w:sz w:val="24"/>
          <w:szCs w:val="24"/>
          <w:highlight w:val="none"/>
          <w:lang w:val="en-US" w:eastAsia="zh-CN"/>
        </w:rPr>
        <w:t>增值税专用</w:t>
      </w:r>
      <w:r>
        <w:rPr>
          <w:rFonts w:hint="eastAsia" w:ascii="宋体" w:hAnsi="宋体" w:eastAsia="宋体" w:cs="宋体"/>
          <w:sz w:val="24"/>
          <w:szCs w:val="24"/>
          <w:highlight w:val="none"/>
        </w:rPr>
        <w:t>发票；</w:t>
      </w:r>
    </w:p>
    <w:p w14:paraId="566BD612">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ascii="宋体" w:hAnsi="宋体" w:cs="宋体"/>
          <w:sz w:val="24"/>
          <w:szCs w:val="24"/>
          <w:highlight w:val="none"/>
          <w:lang w:val="en-US" w:eastAsia="zh-CN"/>
        </w:rPr>
        <w:t>4</w:t>
      </w:r>
      <w:r>
        <w:rPr>
          <w:rFonts w:hint="eastAsia" w:ascii="宋体" w:hAnsi="宋体" w:eastAsia="宋体" w:cs="宋体"/>
          <w:sz w:val="24"/>
          <w:szCs w:val="24"/>
          <w:highlight w:val="none"/>
        </w:rPr>
        <w:t>.1.2 制造厂出具的货物检验合格证书；</w:t>
      </w:r>
    </w:p>
    <w:p w14:paraId="0C87C3AF">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ascii="宋体" w:hAnsi="宋体" w:cs="宋体"/>
          <w:sz w:val="24"/>
          <w:szCs w:val="24"/>
          <w:highlight w:val="none"/>
          <w:lang w:val="en-US" w:eastAsia="zh-CN"/>
        </w:rPr>
        <w:t>4</w:t>
      </w:r>
      <w:r>
        <w:rPr>
          <w:rFonts w:hint="eastAsia" w:ascii="宋体" w:hAnsi="宋体" w:eastAsia="宋体" w:cs="宋体"/>
          <w:sz w:val="24"/>
          <w:szCs w:val="24"/>
          <w:highlight w:val="none"/>
        </w:rPr>
        <w:t>.1.3 买方出具的到货检验合格证书；</w:t>
      </w:r>
    </w:p>
    <w:p w14:paraId="4D62CF6D">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ascii="宋体" w:hAnsi="宋体" w:cs="宋体"/>
          <w:sz w:val="24"/>
          <w:szCs w:val="24"/>
          <w:highlight w:val="none"/>
          <w:lang w:val="en-US" w:eastAsia="zh-CN"/>
        </w:rPr>
        <w:t>4</w:t>
      </w:r>
      <w:r>
        <w:rPr>
          <w:rFonts w:hint="eastAsia" w:ascii="宋体" w:hAnsi="宋体" w:eastAsia="宋体" w:cs="宋体"/>
          <w:sz w:val="24"/>
          <w:szCs w:val="24"/>
          <w:highlight w:val="none"/>
        </w:rPr>
        <w:t>.2 成套设备安装调试合格，试运转完成并经相关部门验收通过后向买方书面提出付款要求时，提供下列单据：</w:t>
      </w:r>
    </w:p>
    <w:p w14:paraId="405FD4FD">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ascii="宋体" w:hAnsi="宋体" w:cs="宋体"/>
          <w:sz w:val="24"/>
          <w:szCs w:val="24"/>
          <w:highlight w:val="none"/>
          <w:lang w:val="en-US" w:eastAsia="zh-CN"/>
        </w:rPr>
        <w:t>4</w:t>
      </w:r>
      <w:r>
        <w:rPr>
          <w:rFonts w:hint="eastAsia" w:ascii="宋体" w:hAnsi="宋体" w:eastAsia="宋体" w:cs="宋体"/>
          <w:sz w:val="24"/>
          <w:szCs w:val="24"/>
          <w:highlight w:val="none"/>
        </w:rPr>
        <w:t>.2.1 已提供全额的</w:t>
      </w:r>
      <w:r>
        <w:rPr>
          <w:rFonts w:hint="eastAsia" w:ascii="宋体" w:hAnsi="宋体" w:cs="宋体"/>
          <w:sz w:val="24"/>
          <w:szCs w:val="24"/>
          <w:highlight w:val="none"/>
          <w:lang w:val="en-US" w:eastAsia="zh-CN"/>
        </w:rPr>
        <w:t>增值税专用</w:t>
      </w:r>
      <w:r>
        <w:rPr>
          <w:rFonts w:hint="eastAsia" w:ascii="宋体" w:hAnsi="宋体" w:eastAsia="宋体" w:cs="宋体"/>
          <w:sz w:val="24"/>
          <w:szCs w:val="24"/>
          <w:highlight w:val="none"/>
        </w:rPr>
        <w:t>发票；</w:t>
      </w:r>
    </w:p>
    <w:p w14:paraId="3984CDD3">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ascii="宋体" w:hAnsi="宋体" w:cs="宋体"/>
          <w:sz w:val="24"/>
          <w:szCs w:val="24"/>
          <w:highlight w:val="none"/>
          <w:lang w:val="en-US" w:eastAsia="zh-CN"/>
        </w:rPr>
        <w:t>4</w:t>
      </w:r>
      <w:r>
        <w:rPr>
          <w:rFonts w:hint="eastAsia" w:ascii="宋体" w:hAnsi="宋体" w:eastAsia="宋体" w:cs="宋体"/>
          <w:sz w:val="24"/>
          <w:szCs w:val="24"/>
          <w:highlight w:val="none"/>
        </w:rPr>
        <w:t>.2.2 安装调试结束并通过验收的相关证明材料。</w:t>
      </w:r>
    </w:p>
    <w:p w14:paraId="50A8F6CE">
      <w:pPr>
        <w:keepNext w:val="0"/>
        <w:keepLines w:val="0"/>
        <w:pageBreakBefore w:val="0"/>
        <w:widowControl w:val="0"/>
        <w:kinsoku/>
        <w:wordWrap/>
        <w:overflowPunct/>
        <w:topLinePunct w:val="0"/>
        <w:autoSpaceDE/>
        <w:autoSpaceDN/>
        <w:bidi w:val="0"/>
        <w:adjustRightInd/>
        <w:snapToGrid/>
        <w:spacing w:before="157" w:beforeLines="50" w:line="400" w:lineRule="exact"/>
        <w:ind w:firstLine="482" w:firstLineChars="200"/>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1</w:t>
      </w:r>
      <w:r>
        <w:rPr>
          <w:rFonts w:hint="eastAsia" w:ascii="宋体" w:hAnsi="宋体" w:cs="宋体"/>
          <w:b/>
          <w:bCs/>
          <w:sz w:val="24"/>
          <w:szCs w:val="24"/>
          <w:highlight w:val="none"/>
          <w:lang w:val="en-US" w:eastAsia="zh-CN"/>
        </w:rPr>
        <w:t>5</w:t>
      </w:r>
      <w:r>
        <w:rPr>
          <w:rFonts w:hint="eastAsia" w:ascii="宋体" w:hAnsi="宋体" w:eastAsia="宋体" w:cs="宋体"/>
          <w:b/>
          <w:bCs/>
          <w:sz w:val="24"/>
          <w:szCs w:val="24"/>
          <w:highlight w:val="none"/>
        </w:rPr>
        <w:t xml:space="preserve"> 支付</w:t>
      </w:r>
    </w:p>
    <w:p w14:paraId="6D00C9FF">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ascii="宋体" w:hAnsi="宋体" w:cs="宋体"/>
          <w:sz w:val="24"/>
          <w:szCs w:val="24"/>
          <w:highlight w:val="none"/>
          <w:lang w:val="en-US" w:eastAsia="zh-CN"/>
        </w:rPr>
        <w:t>5</w:t>
      </w:r>
      <w:r>
        <w:rPr>
          <w:rFonts w:hint="eastAsia" w:ascii="宋体" w:hAnsi="宋体" w:eastAsia="宋体" w:cs="宋体"/>
          <w:sz w:val="24"/>
          <w:szCs w:val="24"/>
          <w:highlight w:val="none"/>
        </w:rPr>
        <w:t>.1 价格应以“合同条款前附表”第4项中所规定的币种支付。</w:t>
      </w:r>
    </w:p>
    <w:p w14:paraId="5D5F7BF2">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ascii="宋体" w:hAnsi="宋体" w:cs="宋体"/>
          <w:sz w:val="24"/>
          <w:szCs w:val="24"/>
          <w:highlight w:val="none"/>
          <w:lang w:val="en-US" w:eastAsia="zh-CN"/>
        </w:rPr>
        <w:t>5</w:t>
      </w:r>
      <w:r>
        <w:rPr>
          <w:rFonts w:hint="eastAsia" w:ascii="宋体" w:hAnsi="宋体" w:eastAsia="宋体" w:cs="宋体"/>
          <w:sz w:val="24"/>
          <w:szCs w:val="24"/>
          <w:highlight w:val="none"/>
        </w:rPr>
        <w:t>.2 买方应按“合同条款前附表”第5项中所规定的付款计划完成合同价格的支付，逾期按应付款同期银行贷款利率两倍计算的利息承担违约金。</w:t>
      </w:r>
    </w:p>
    <w:p w14:paraId="05F5D822">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ascii="宋体" w:hAnsi="宋体" w:cs="宋体"/>
          <w:sz w:val="24"/>
          <w:szCs w:val="24"/>
          <w:highlight w:val="none"/>
          <w:lang w:val="en-US" w:eastAsia="zh-CN"/>
        </w:rPr>
        <w:t>5</w:t>
      </w:r>
      <w:r>
        <w:rPr>
          <w:rFonts w:hint="eastAsia" w:ascii="宋体" w:hAnsi="宋体" w:eastAsia="宋体" w:cs="宋体"/>
          <w:sz w:val="24"/>
          <w:szCs w:val="24"/>
          <w:highlight w:val="none"/>
        </w:rPr>
        <w:t>.3 卖方应以书面形式提出付款要求，并附上“合同条款”第1</w:t>
      </w:r>
      <w:r>
        <w:rPr>
          <w:rFonts w:hint="eastAsia" w:ascii="宋体" w:hAnsi="宋体" w:cs="宋体"/>
          <w:sz w:val="24"/>
          <w:szCs w:val="24"/>
          <w:highlight w:val="none"/>
          <w:lang w:val="en-US" w:eastAsia="zh-CN"/>
        </w:rPr>
        <w:t>3</w:t>
      </w:r>
      <w:r>
        <w:rPr>
          <w:rFonts w:hint="eastAsia" w:ascii="宋体" w:hAnsi="宋体" w:eastAsia="宋体" w:cs="宋体"/>
          <w:sz w:val="24"/>
          <w:szCs w:val="24"/>
          <w:highlight w:val="none"/>
        </w:rPr>
        <w:t>条规定的单据以及合同规定的有关义务已经履行的证明。</w:t>
      </w:r>
    </w:p>
    <w:p w14:paraId="3098C8D3">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ascii="宋体" w:hAnsi="宋体" w:cs="宋体"/>
          <w:sz w:val="24"/>
          <w:szCs w:val="24"/>
          <w:highlight w:val="none"/>
          <w:lang w:val="en-US" w:eastAsia="zh-CN"/>
        </w:rPr>
        <w:t>5</w:t>
      </w:r>
      <w:r>
        <w:rPr>
          <w:rFonts w:hint="eastAsia" w:ascii="宋体" w:hAnsi="宋体" w:eastAsia="宋体" w:cs="宋体"/>
          <w:sz w:val="24"/>
          <w:szCs w:val="24"/>
          <w:highlight w:val="none"/>
        </w:rPr>
        <w:t>.4 买方的付款应当及时，在任何情况下，支付应在收到卖方的书面付款要求以及“合同条款”第1</w:t>
      </w:r>
      <w:r>
        <w:rPr>
          <w:rFonts w:hint="eastAsia" w:ascii="宋体" w:hAnsi="宋体" w:cs="宋体"/>
          <w:sz w:val="24"/>
          <w:szCs w:val="24"/>
          <w:highlight w:val="none"/>
          <w:lang w:val="en-US" w:eastAsia="zh-CN"/>
        </w:rPr>
        <w:t>4</w:t>
      </w:r>
      <w:r>
        <w:rPr>
          <w:rFonts w:hint="eastAsia" w:ascii="宋体" w:hAnsi="宋体" w:eastAsia="宋体" w:cs="宋体"/>
          <w:sz w:val="24"/>
          <w:szCs w:val="24"/>
          <w:highlight w:val="none"/>
        </w:rPr>
        <w:t>条规定单据并经审核无误后的</w:t>
      </w:r>
      <w:r>
        <w:rPr>
          <w:rFonts w:hint="eastAsia" w:ascii="宋体" w:hAnsi="宋体" w:cs="宋体"/>
          <w:sz w:val="24"/>
          <w:szCs w:val="24"/>
          <w:highlight w:val="none"/>
          <w:lang w:val="en-US" w:eastAsia="zh-CN"/>
        </w:rPr>
        <w:t>20</w:t>
      </w:r>
      <w:r>
        <w:rPr>
          <w:rFonts w:hint="eastAsia" w:ascii="宋体" w:hAnsi="宋体" w:eastAsia="宋体" w:cs="宋体"/>
          <w:sz w:val="24"/>
          <w:szCs w:val="24"/>
          <w:highlight w:val="none"/>
        </w:rPr>
        <w:t>天内完成。如买方在审核有关单据时发现了错误或问题，应及时以书面形式通知卖方。</w:t>
      </w:r>
    </w:p>
    <w:p w14:paraId="133509D7">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ascii="宋体" w:hAnsi="宋体" w:cs="宋体"/>
          <w:sz w:val="24"/>
          <w:szCs w:val="24"/>
          <w:highlight w:val="none"/>
          <w:lang w:val="en-US" w:eastAsia="zh-CN"/>
        </w:rPr>
        <w:t>5</w:t>
      </w:r>
      <w:r>
        <w:rPr>
          <w:rFonts w:hint="eastAsia" w:ascii="宋体" w:hAnsi="宋体" w:eastAsia="宋体" w:cs="宋体"/>
          <w:sz w:val="24"/>
          <w:szCs w:val="24"/>
          <w:highlight w:val="none"/>
        </w:rPr>
        <w:t>.5 卖方未及时开具票据或提供相应证明，买方有权拒绝付款且不承担违约责任，同时卖方不得以此拖延、拒绝履行交货、安装调试及验收交付的义务。</w:t>
      </w:r>
    </w:p>
    <w:p w14:paraId="7302EB3C">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ascii="宋体" w:hAnsi="宋体" w:cs="宋体"/>
          <w:sz w:val="24"/>
          <w:szCs w:val="24"/>
          <w:highlight w:val="none"/>
          <w:lang w:val="en-US" w:eastAsia="zh-CN"/>
        </w:rPr>
        <w:t>5</w:t>
      </w:r>
      <w:r>
        <w:rPr>
          <w:rFonts w:hint="eastAsia" w:ascii="宋体" w:hAnsi="宋体" w:eastAsia="宋体" w:cs="宋体"/>
          <w:sz w:val="24"/>
          <w:szCs w:val="24"/>
          <w:highlight w:val="none"/>
        </w:rPr>
        <w:t>.6 支付过程中发生的银行费用应由各方各自承担。</w:t>
      </w:r>
    </w:p>
    <w:p w14:paraId="2FB60184">
      <w:pPr>
        <w:keepNext w:val="0"/>
        <w:keepLines w:val="0"/>
        <w:pageBreakBefore w:val="0"/>
        <w:widowControl w:val="0"/>
        <w:kinsoku/>
        <w:wordWrap/>
        <w:overflowPunct/>
        <w:topLinePunct w:val="0"/>
        <w:autoSpaceDE/>
        <w:autoSpaceDN/>
        <w:bidi w:val="0"/>
        <w:adjustRightInd/>
        <w:snapToGrid/>
        <w:spacing w:before="157" w:beforeLines="50" w:line="400" w:lineRule="exact"/>
        <w:ind w:firstLine="482" w:firstLineChars="200"/>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1</w:t>
      </w:r>
      <w:r>
        <w:rPr>
          <w:rFonts w:hint="eastAsia" w:ascii="宋体" w:hAnsi="宋体" w:cs="宋体"/>
          <w:b/>
          <w:bCs/>
          <w:sz w:val="24"/>
          <w:szCs w:val="24"/>
          <w:highlight w:val="none"/>
          <w:lang w:val="en-US" w:eastAsia="zh-CN"/>
        </w:rPr>
        <w:t>6</w:t>
      </w:r>
      <w:r>
        <w:rPr>
          <w:rFonts w:hint="eastAsia" w:ascii="宋体" w:hAnsi="宋体" w:eastAsia="宋体" w:cs="宋体"/>
          <w:b/>
          <w:bCs/>
          <w:sz w:val="24"/>
          <w:szCs w:val="24"/>
          <w:highlight w:val="none"/>
          <w:lang w:val="en-US" w:eastAsia="zh-CN"/>
        </w:rPr>
        <w:t>.</w:t>
      </w:r>
      <w:r>
        <w:rPr>
          <w:rFonts w:hint="eastAsia" w:ascii="宋体" w:hAnsi="宋体" w:eastAsia="宋体" w:cs="宋体"/>
          <w:b/>
          <w:bCs/>
          <w:sz w:val="24"/>
          <w:szCs w:val="24"/>
          <w:highlight w:val="none"/>
        </w:rPr>
        <w:t>检验和验收</w:t>
      </w:r>
    </w:p>
    <w:p w14:paraId="2774A5B8">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ascii="宋体" w:hAnsi="宋体" w:cs="宋体"/>
          <w:sz w:val="24"/>
          <w:szCs w:val="24"/>
          <w:highlight w:val="none"/>
          <w:lang w:val="en-US" w:eastAsia="zh-CN"/>
        </w:rPr>
        <w:t>6</w:t>
      </w:r>
      <w:r>
        <w:rPr>
          <w:rFonts w:hint="eastAsia" w:ascii="宋体" w:hAnsi="宋体" w:eastAsia="宋体" w:cs="宋体"/>
          <w:sz w:val="24"/>
          <w:szCs w:val="24"/>
          <w:highlight w:val="none"/>
        </w:rPr>
        <w:t>.1 在货物制造过程中，买方有权派人参与监造，卖方应对此给予配合和支持，并给买方监造人员提供工作和生活上的方便。买方人员不签署任何质量证明，买方人员参与监造不解除卖方的任何责任，也不替代到货后的检验和验收。</w:t>
      </w:r>
    </w:p>
    <w:p w14:paraId="7B8EF0CA">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ascii="宋体" w:hAnsi="宋体" w:cs="宋体"/>
          <w:sz w:val="24"/>
          <w:szCs w:val="24"/>
          <w:highlight w:val="none"/>
          <w:lang w:val="en-US" w:eastAsia="zh-CN"/>
        </w:rPr>
        <w:t>6</w:t>
      </w:r>
      <w:r>
        <w:rPr>
          <w:rFonts w:hint="eastAsia" w:ascii="宋体" w:hAnsi="宋体" w:eastAsia="宋体" w:cs="宋体"/>
          <w:sz w:val="24"/>
          <w:szCs w:val="24"/>
          <w:highlight w:val="none"/>
        </w:rPr>
        <w:t>.2 在交货前，制造厂应对货物的质量、规格、性能、数量和重量等进行全面、细致的检验，并出具证明货物符合合同规定的检验合格证书，检验合格证书是支付交货付款所需单据之一，但不能作为有关质量、规格、性能、数量或重量等的最终检验凭证。制造厂检验的结果和细节应附在检验合格证书之后。</w:t>
      </w:r>
    </w:p>
    <w:p w14:paraId="372CBB1C">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ascii="宋体" w:hAnsi="宋体" w:cs="宋体"/>
          <w:sz w:val="24"/>
          <w:szCs w:val="24"/>
          <w:highlight w:val="none"/>
          <w:lang w:val="en-US" w:eastAsia="zh-CN"/>
        </w:rPr>
        <w:t>6</w:t>
      </w:r>
      <w:r>
        <w:rPr>
          <w:rFonts w:hint="eastAsia" w:ascii="宋体" w:hAnsi="宋体" w:eastAsia="宋体" w:cs="宋体"/>
          <w:sz w:val="24"/>
          <w:szCs w:val="24"/>
          <w:highlight w:val="none"/>
        </w:rPr>
        <w:t>.3 货物运抵现场后，买方对货物的规格、数量、重量和随货提供的资料进行检验，出具到货检验合格证书之日视为卖方送货完成。</w:t>
      </w:r>
    </w:p>
    <w:p w14:paraId="751B70F7">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ascii="宋体" w:hAnsi="宋体" w:cs="宋体"/>
          <w:sz w:val="24"/>
          <w:szCs w:val="24"/>
          <w:highlight w:val="none"/>
          <w:lang w:val="en-US" w:eastAsia="zh-CN"/>
        </w:rPr>
        <w:t>6</w:t>
      </w:r>
      <w:r>
        <w:rPr>
          <w:rFonts w:hint="eastAsia" w:ascii="宋体" w:hAnsi="宋体" w:eastAsia="宋体" w:cs="宋体"/>
          <w:sz w:val="24"/>
          <w:szCs w:val="24"/>
          <w:highlight w:val="none"/>
        </w:rPr>
        <w:t>.4 买方或其代表应有权对货物进行检验，以确认货物是否符合规格、数量、重量和随货提供资料方面的要求，并且不承担额外的费用。买方应及时将进行检验的代表身份情况告知卖方。</w:t>
      </w:r>
    </w:p>
    <w:p w14:paraId="2929FF0A">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ascii="宋体" w:hAnsi="宋体" w:cs="宋体"/>
          <w:sz w:val="24"/>
          <w:szCs w:val="24"/>
          <w:highlight w:val="none"/>
          <w:lang w:val="en-US" w:eastAsia="zh-CN"/>
        </w:rPr>
        <w:t>6</w:t>
      </w:r>
      <w:r>
        <w:rPr>
          <w:rFonts w:hint="eastAsia" w:ascii="宋体" w:hAnsi="宋体" w:eastAsia="宋体" w:cs="宋体"/>
          <w:sz w:val="24"/>
          <w:szCs w:val="24"/>
          <w:highlight w:val="none"/>
        </w:rPr>
        <w:t>.5 上述检验在项目现场进行，卖方应对检验工作免费提供合理的协助并借用可能需要的专用仪器或仪表。</w:t>
      </w:r>
    </w:p>
    <w:p w14:paraId="06030C0D">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ascii="宋体" w:hAnsi="宋体" w:cs="宋体"/>
          <w:sz w:val="24"/>
          <w:szCs w:val="24"/>
          <w:highlight w:val="none"/>
          <w:lang w:val="en-US" w:eastAsia="zh-CN"/>
        </w:rPr>
        <w:t>6</w:t>
      </w:r>
      <w:r>
        <w:rPr>
          <w:rFonts w:hint="eastAsia" w:ascii="宋体" w:hAnsi="宋体" w:eastAsia="宋体" w:cs="宋体"/>
          <w:sz w:val="24"/>
          <w:szCs w:val="24"/>
          <w:highlight w:val="none"/>
        </w:rPr>
        <w:t>.6 如果被检验的货物不能满足规格、数量、重量和随货提供资料方面的要求，买方可能拒绝接受该货物，卖方应免费更换被拒绝的货物。</w:t>
      </w:r>
    </w:p>
    <w:p w14:paraId="28FDAAF7">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ascii="宋体" w:hAnsi="宋体" w:cs="宋体"/>
          <w:sz w:val="24"/>
          <w:szCs w:val="24"/>
          <w:highlight w:val="none"/>
          <w:lang w:val="en-US" w:eastAsia="zh-CN"/>
        </w:rPr>
        <w:t>6</w:t>
      </w:r>
      <w:r>
        <w:rPr>
          <w:rFonts w:hint="eastAsia" w:ascii="宋体" w:hAnsi="宋体" w:eastAsia="宋体" w:cs="宋体"/>
          <w:sz w:val="24"/>
          <w:szCs w:val="24"/>
          <w:highlight w:val="none"/>
        </w:rPr>
        <w:t>.7 买方在货物运抵项目现场后对其进行检验以及必要时拒绝接受该货物的权力，将不会因为货物在其出厂地启运前通过了买方或其代表的检验及认可而受到限制或放弃。</w:t>
      </w:r>
    </w:p>
    <w:p w14:paraId="5E5DA0E2">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ascii="宋体" w:hAnsi="宋体" w:cs="宋体"/>
          <w:sz w:val="24"/>
          <w:szCs w:val="24"/>
          <w:highlight w:val="none"/>
          <w:lang w:val="en-US" w:eastAsia="zh-CN"/>
        </w:rPr>
        <w:t>6</w:t>
      </w:r>
      <w:r>
        <w:rPr>
          <w:rFonts w:hint="eastAsia" w:ascii="宋体" w:hAnsi="宋体" w:eastAsia="宋体" w:cs="宋体"/>
          <w:sz w:val="24"/>
          <w:szCs w:val="24"/>
          <w:highlight w:val="none"/>
        </w:rPr>
        <w:t>.8 在货物到达项目现场后，卖方应及时以书面形式通知买方进行检验。买方应在收到检验通知后的2天之内开始进行检验。</w:t>
      </w:r>
    </w:p>
    <w:p w14:paraId="71151556">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ascii="宋体" w:hAnsi="宋体" w:cs="宋体"/>
          <w:sz w:val="24"/>
          <w:szCs w:val="24"/>
          <w:highlight w:val="none"/>
          <w:lang w:val="en-US" w:eastAsia="zh-CN"/>
        </w:rPr>
        <w:t>6</w:t>
      </w:r>
      <w:r>
        <w:rPr>
          <w:rFonts w:hint="eastAsia" w:ascii="宋体" w:hAnsi="宋体" w:eastAsia="宋体" w:cs="宋体"/>
          <w:sz w:val="24"/>
          <w:szCs w:val="24"/>
          <w:highlight w:val="none"/>
        </w:rPr>
        <w:t>.9 买卖双方应在货物检验合格后的2天之内签署到货检验合格证书。</w:t>
      </w:r>
    </w:p>
    <w:p w14:paraId="383B7D6C">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ascii="宋体" w:hAnsi="宋体" w:cs="宋体"/>
          <w:sz w:val="24"/>
          <w:szCs w:val="24"/>
          <w:highlight w:val="none"/>
          <w:lang w:val="en-US" w:eastAsia="zh-CN"/>
        </w:rPr>
        <w:t>6</w:t>
      </w:r>
      <w:r>
        <w:rPr>
          <w:rFonts w:hint="eastAsia" w:ascii="宋体" w:hAnsi="宋体" w:eastAsia="宋体" w:cs="宋体"/>
          <w:sz w:val="24"/>
          <w:szCs w:val="24"/>
          <w:highlight w:val="none"/>
        </w:rPr>
        <w:t>.10 买方对货物质量的检验适用质量保证（修）期的规定。</w:t>
      </w:r>
    </w:p>
    <w:p w14:paraId="0331C1CA">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ascii="宋体" w:hAnsi="宋体" w:cs="宋体"/>
          <w:sz w:val="24"/>
          <w:szCs w:val="24"/>
          <w:highlight w:val="none"/>
          <w:lang w:val="en-US" w:eastAsia="zh-CN"/>
        </w:rPr>
        <w:t>6</w:t>
      </w:r>
      <w:r>
        <w:rPr>
          <w:rFonts w:hint="eastAsia" w:ascii="宋体" w:hAnsi="宋体" w:eastAsia="宋体" w:cs="宋体"/>
          <w:sz w:val="24"/>
          <w:szCs w:val="24"/>
          <w:highlight w:val="none"/>
        </w:rPr>
        <w:t>.11 因卖方承担了所供货物安装调试施工服务，为专项交钥匙工程，货物到达项目现场后仍由卖方承担保管责任和费用。</w:t>
      </w:r>
    </w:p>
    <w:p w14:paraId="2476B3AB">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ascii="宋体" w:hAnsi="宋体" w:cs="宋体"/>
          <w:sz w:val="24"/>
          <w:szCs w:val="24"/>
          <w:highlight w:val="none"/>
          <w:lang w:val="en-US" w:eastAsia="zh-CN"/>
        </w:rPr>
        <w:t>6</w:t>
      </w:r>
      <w:r>
        <w:rPr>
          <w:rFonts w:hint="eastAsia" w:ascii="宋体" w:hAnsi="宋体" w:eastAsia="宋体" w:cs="宋体"/>
          <w:sz w:val="24"/>
          <w:szCs w:val="24"/>
          <w:highlight w:val="none"/>
        </w:rPr>
        <w:t>.12  卖方在安装施工质量、工期、安全和现场文明施工等方面应服从买方的管理，并与买方密切配合，共同实现合同所确定的目标。</w:t>
      </w:r>
    </w:p>
    <w:p w14:paraId="4E331099">
      <w:pPr>
        <w:pageBreakBefore w:val="0"/>
        <w:kinsoku/>
        <w:wordWrap/>
        <w:topLinePunct w:val="0"/>
        <w:bidi w:val="0"/>
        <w:spacing w:line="400" w:lineRule="exact"/>
        <w:ind w:firstLine="480"/>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ascii="宋体" w:hAnsi="宋体" w:cs="宋体"/>
          <w:sz w:val="24"/>
          <w:szCs w:val="24"/>
          <w:highlight w:val="none"/>
          <w:lang w:val="en-US" w:eastAsia="zh-CN"/>
        </w:rPr>
        <w:t>6</w:t>
      </w:r>
      <w:r>
        <w:rPr>
          <w:rFonts w:hint="eastAsia" w:ascii="宋体" w:hAnsi="宋体" w:eastAsia="宋体" w:cs="宋体"/>
          <w:sz w:val="24"/>
          <w:szCs w:val="24"/>
          <w:highlight w:val="none"/>
        </w:rPr>
        <w:t>.13 卖方在安装调试结束后，应根据设计方案和验收规范自行验收。设备安装调试试运行</w:t>
      </w: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rPr>
        <w:t>个月后，由招标单位组织验收。中标方提供相关合格证、证明材料、随机资料等。只要有一项不符合采购方要求就为验收不合格，验收不合格，采购方不付款。</w:t>
      </w:r>
    </w:p>
    <w:p w14:paraId="28D86980">
      <w:pPr>
        <w:pageBreakBefore w:val="0"/>
        <w:kinsoku/>
        <w:wordWrap/>
        <w:topLinePunct w:val="0"/>
        <w:bidi w:val="0"/>
        <w:spacing w:line="400" w:lineRule="exact"/>
        <w:ind w:firstLine="480"/>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ascii="宋体" w:hAnsi="宋体" w:cs="宋体"/>
          <w:sz w:val="24"/>
          <w:szCs w:val="24"/>
          <w:highlight w:val="none"/>
          <w:lang w:val="en-US" w:eastAsia="zh-CN"/>
        </w:rPr>
        <w:t>6</w:t>
      </w:r>
      <w:r>
        <w:rPr>
          <w:rFonts w:hint="eastAsia" w:ascii="宋体" w:hAnsi="宋体" w:eastAsia="宋体" w:cs="宋体"/>
          <w:sz w:val="24"/>
          <w:szCs w:val="24"/>
          <w:highlight w:val="none"/>
        </w:rPr>
        <w:t>.14 卖方的货物经其安装调试并通过买方的验收日期视为卖方的交货完成日期和质量保证（修）期的起算日，据此双方应签署工程（交货）竣工验收合格证书。</w:t>
      </w:r>
    </w:p>
    <w:p w14:paraId="4E8A81E0">
      <w:pPr>
        <w:pageBreakBefore w:val="0"/>
        <w:kinsoku/>
        <w:wordWrap/>
        <w:topLinePunct w:val="0"/>
        <w:bidi w:val="0"/>
        <w:spacing w:line="400" w:lineRule="exact"/>
        <w:ind w:firstLine="480"/>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ascii="宋体" w:hAnsi="宋体" w:cs="宋体"/>
          <w:sz w:val="24"/>
          <w:szCs w:val="24"/>
          <w:highlight w:val="none"/>
          <w:lang w:val="en-US" w:eastAsia="zh-CN"/>
        </w:rPr>
        <w:t>6</w:t>
      </w:r>
      <w:r>
        <w:rPr>
          <w:rFonts w:hint="eastAsia" w:ascii="宋体" w:hAnsi="宋体" w:eastAsia="宋体" w:cs="宋体"/>
          <w:sz w:val="24"/>
          <w:szCs w:val="24"/>
          <w:highlight w:val="none"/>
        </w:rPr>
        <w:t>.15 “合同条款”第16.1-16.14条的规定无论如何也不能免除卖方在本合同项下的质量保证（修）义务及其他义务。</w:t>
      </w:r>
    </w:p>
    <w:p w14:paraId="599220C7">
      <w:pPr>
        <w:keepNext w:val="0"/>
        <w:keepLines w:val="0"/>
        <w:pageBreakBefore w:val="0"/>
        <w:widowControl w:val="0"/>
        <w:kinsoku/>
        <w:wordWrap/>
        <w:overflowPunct/>
        <w:topLinePunct w:val="0"/>
        <w:autoSpaceDE/>
        <w:autoSpaceDN/>
        <w:bidi w:val="0"/>
        <w:adjustRightInd/>
        <w:snapToGrid/>
        <w:spacing w:before="157" w:beforeLines="50" w:line="400" w:lineRule="exact"/>
        <w:ind w:firstLine="482" w:firstLineChars="200"/>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lang w:val="en-US" w:eastAsia="zh-CN"/>
        </w:rPr>
        <w:t>1</w:t>
      </w:r>
      <w:r>
        <w:rPr>
          <w:rFonts w:hint="eastAsia" w:ascii="宋体" w:hAnsi="宋体" w:cs="宋体"/>
          <w:b/>
          <w:bCs/>
          <w:sz w:val="24"/>
          <w:szCs w:val="24"/>
          <w:highlight w:val="none"/>
          <w:lang w:val="en-US" w:eastAsia="zh-CN"/>
        </w:rPr>
        <w:t>7</w:t>
      </w:r>
      <w:r>
        <w:rPr>
          <w:rFonts w:hint="eastAsia" w:ascii="宋体" w:hAnsi="宋体" w:eastAsia="宋体" w:cs="宋体"/>
          <w:b/>
          <w:bCs/>
          <w:sz w:val="24"/>
          <w:szCs w:val="24"/>
          <w:highlight w:val="none"/>
          <w:lang w:val="en-US" w:eastAsia="zh-CN"/>
        </w:rPr>
        <w:t>.</w:t>
      </w:r>
      <w:r>
        <w:rPr>
          <w:rFonts w:hint="eastAsia" w:ascii="宋体" w:hAnsi="宋体" w:eastAsia="宋体" w:cs="宋体"/>
          <w:b/>
          <w:bCs/>
          <w:sz w:val="24"/>
          <w:szCs w:val="24"/>
          <w:highlight w:val="none"/>
        </w:rPr>
        <w:t>质量</w:t>
      </w:r>
      <w:r>
        <w:rPr>
          <w:rFonts w:hint="eastAsia" w:ascii="宋体" w:hAnsi="宋体" w:eastAsia="宋体" w:cs="宋体"/>
          <w:b/>
          <w:bCs/>
          <w:sz w:val="24"/>
          <w:szCs w:val="24"/>
          <w:highlight w:val="none"/>
          <w:lang w:val="en-US" w:eastAsia="zh-CN"/>
        </w:rPr>
        <w:t>标准及</w:t>
      </w:r>
      <w:r>
        <w:rPr>
          <w:rFonts w:hint="eastAsia" w:ascii="宋体" w:hAnsi="宋体" w:eastAsia="宋体" w:cs="宋体"/>
          <w:b/>
          <w:bCs/>
          <w:sz w:val="24"/>
          <w:szCs w:val="24"/>
          <w:highlight w:val="none"/>
        </w:rPr>
        <w:t>保证</w:t>
      </w:r>
    </w:p>
    <w:p w14:paraId="146844F9">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w:t>
      </w:r>
      <w:r>
        <w:rPr>
          <w:rFonts w:hint="eastAsia" w:ascii="宋体" w:hAnsi="宋体" w:cs="宋体"/>
          <w:sz w:val="24"/>
          <w:szCs w:val="24"/>
          <w:highlight w:val="none"/>
          <w:lang w:val="en-US" w:eastAsia="zh-CN"/>
        </w:rPr>
        <w:t>7</w:t>
      </w:r>
      <w:r>
        <w:rPr>
          <w:rFonts w:hint="eastAsia" w:ascii="宋体" w:hAnsi="宋体" w:eastAsia="宋体" w:cs="宋体"/>
          <w:sz w:val="24"/>
          <w:szCs w:val="24"/>
          <w:highlight w:val="none"/>
          <w:lang w:val="en-US" w:eastAsia="zh-CN"/>
        </w:rPr>
        <w:t xml:space="preserve">.1 </w:t>
      </w:r>
      <w:r>
        <w:rPr>
          <w:rFonts w:hint="eastAsia" w:ascii="宋体" w:hAnsi="宋体" w:eastAsia="宋体" w:cs="宋体"/>
          <w:sz w:val="24"/>
          <w:szCs w:val="24"/>
          <w:highlight w:val="none"/>
        </w:rPr>
        <w:t>货物全部送到买方指定的地点</w:t>
      </w:r>
      <w:r>
        <w:rPr>
          <w:rFonts w:hint="eastAsia" w:ascii="宋体" w:hAnsi="宋体" w:eastAsia="宋体" w:cs="宋体"/>
          <w:sz w:val="24"/>
          <w:szCs w:val="24"/>
          <w:highlight w:val="none"/>
          <w:lang w:val="en-US" w:eastAsia="zh-CN"/>
        </w:rPr>
        <w:t>并有</w:t>
      </w:r>
      <w:r>
        <w:rPr>
          <w:rFonts w:hint="eastAsia" w:ascii="宋体" w:hAnsi="宋体" w:cs="宋体"/>
          <w:sz w:val="24"/>
          <w:szCs w:val="24"/>
          <w:highlight w:val="none"/>
          <w:lang w:val="en-US" w:eastAsia="zh-CN"/>
        </w:rPr>
        <w:t>卖</w:t>
      </w:r>
      <w:r>
        <w:rPr>
          <w:rFonts w:hint="eastAsia" w:ascii="宋体" w:hAnsi="宋体" w:eastAsia="宋体" w:cs="宋体"/>
          <w:sz w:val="24"/>
          <w:szCs w:val="24"/>
          <w:highlight w:val="none"/>
          <w:lang w:val="en-US" w:eastAsia="zh-CN"/>
        </w:rPr>
        <w:t>方负责</w:t>
      </w:r>
      <w:r>
        <w:rPr>
          <w:rFonts w:hint="eastAsia" w:ascii="宋体" w:hAnsi="宋体" w:eastAsia="宋体" w:cs="宋体"/>
          <w:sz w:val="24"/>
          <w:szCs w:val="24"/>
          <w:highlight w:val="none"/>
        </w:rPr>
        <w:t>安装并调试，试运行</w:t>
      </w: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rPr>
        <w:t>个月后。</w:t>
      </w:r>
      <w:r>
        <w:rPr>
          <w:rFonts w:hint="eastAsia" w:ascii="宋体" w:hAnsi="宋体" w:cs="宋体"/>
          <w:sz w:val="24"/>
          <w:szCs w:val="24"/>
          <w:highlight w:val="none"/>
          <w:lang w:val="en-US" w:eastAsia="zh-CN"/>
        </w:rPr>
        <w:t>卖方</w:t>
      </w:r>
      <w:r>
        <w:rPr>
          <w:rFonts w:hint="eastAsia" w:ascii="宋体" w:hAnsi="宋体" w:eastAsia="宋体" w:cs="宋体"/>
          <w:sz w:val="24"/>
          <w:szCs w:val="24"/>
          <w:highlight w:val="none"/>
          <w:lang w:val="en-US" w:eastAsia="zh-CN"/>
        </w:rPr>
        <w:t>需</w:t>
      </w:r>
      <w:r>
        <w:rPr>
          <w:rFonts w:hint="eastAsia" w:ascii="宋体" w:hAnsi="宋体" w:cs="宋体"/>
          <w:sz w:val="24"/>
          <w:szCs w:val="24"/>
          <w:highlight w:val="none"/>
          <w:lang w:val="en-US" w:eastAsia="zh-CN"/>
        </w:rPr>
        <w:t>邀请</w:t>
      </w:r>
      <w:r>
        <w:rPr>
          <w:rFonts w:hint="eastAsia" w:ascii="宋体" w:hAnsi="宋体" w:eastAsia="宋体" w:cs="宋体"/>
          <w:sz w:val="24"/>
          <w:szCs w:val="24"/>
          <w:highlight w:val="none"/>
        </w:rPr>
        <w:t>具</w:t>
      </w:r>
      <w:r>
        <w:rPr>
          <w:rFonts w:hint="eastAsia" w:ascii="宋体" w:hAnsi="宋体" w:cs="宋体"/>
          <w:sz w:val="24"/>
          <w:szCs w:val="24"/>
          <w:highlight w:val="none"/>
          <w:lang w:val="en-US" w:eastAsia="zh-CN"/>
        </w:rPr>
        <w:t>备</w:t>
      </w:r>
      <w:r>
        <w:rPr>
          <w:rFonts w:hint="eastAsia" w:ascii="宋体" w:hAnsi="宋体" w:eastAsia="宋体" w:cs="宋体"/>
          <w:sz w:val="24"/>
          <w:szCs w:val="24"/>
          <w:highlight w:val="none"/>
        </w:rPr>
        <w:t>CNAS/CMA资质三方</w:t>
      </w:r>
      <w:r>
        <w:rPr>
          <w:rFonts w:hint="eastAsia" w:ascii="宋体" w:hAnsi="宋体" w:eastAsia="宋体" w:cs="宋体"/>
          <w:sz w:val="24"/>
          <w:szCs w:val="24"/>
          <w:highlight w:val="none"/>
          <w:lang w:val="en-US" w:eastAsia="zh-CN"/>
        </w:rPr>
        <w:t>单位或机构进行电能质量实测，并</w:t>
      </w:r>
      <w:r>
        <w:rPr>
          <w:rFonts w:hint="eastAsia" w:ascii="宋体" w:hAnsi="宋体" w:eastAsia="宋体" w:cs="宋体"/>
          <w:sz w:val="24"/>
          <w:szCs w:val="24"/>
          <w:highlight w:val="none"/>
        </w:rPr>
        <w:t>出具电能质量检测报告，检测数据必须符合</w:t>
      </w:r>
      <w:r>
        <w:rPr>
          <w:rFonts w:hint="eastAsia" w:ascii="宋体" w:hAnsi="宋体" w:eastAsia="宋体" w:cs="宋体"/>
          <w:sz w:val="24"/>
          <w:szCs w:val="24"/>
          <w:highlight w:val="none"/>
          <w:lang w:val="en-US" w:eastAsia="zh-CN"/>
        </w:rPr>
        <w:t>国家规范条款的规定及</w:t>
      </w:r>
      <w:r>
        <w:rPr>
          <w:rFonts w:hint="eastAsia" w:ascii="宋体" w:hAnsi="宋体" w:eastAsia="宋体" w:cs="宋体"/>
          <w:sz w:val="24"/>
          <w:szCs w:val="24"/>
          <w:highlight w:val="none"/>
        </w:rPr>
        <w:t>供电部门的技术要求</w:t>
      </w:r>
      <w:r>
        <w:rPr>
          <w:rFonts w:hint="eastAsia" w:ascii="宋体" w:hAnsi="宋体" w:eastAsia="宋体" w:cs="宋体"/>
          <w:sz w:val="24"/>
          <w:szCs w:val="24"/>
          <w:highlight w:val="none"/>
          <w:lang w:eastAsia="zh-CN"/>
        </w:rPr>
        <w:t>，</w:t>
      </w:r>
      <w:r>
        <w:rPr>
          <w:rFonts w:hint="eastAsia" w:ascii="宋体" w:hAnsi="宋体" w:cs="宋体"/>
          <w:sz w:val="24"/>
          <w:szCs w:val="24"/>
          <w:highlight w:val="none"/>
          <w:lang w:val="en-US" w:eastAsia="zh-CN"/>
        </w:rPr>
        <w:t>同时</w:t>
      </w:r>
      <w:r>
        <w:rPr>
          <w:rFonts w:hint="eastAsia" w:ascii="宋体" w:hAnsi="宋体" w:eastAsia="宋体" w:cs="宋体"/>
          <w:sz w:val="24"/>
          <w:szCs w:val="24"/>
          <w:highlight w:val="none"/>
          <w:lang w:val="en-US" w:eastAsia="zh-CN"/>
        </w:rPr>
        <w:t>由</w:t>
      </w:r>
      <w:r>
        <w:rPr>
          <w:rFonts w:hint="eastAsia" w:ascii="宋体" w:hAnsi="宋体" w:cs="宋体"/>
          <w:sz w:val="24"/>
          <w:szCs w:val="24"/>
          <w:highlight w:val="none"/>
          <w:lang w:val="en-US" w:eastAsia="zh-CN"/>
        </w:rPr>
        <w:t>卖方</w:t>
      </w:r>
      <w:r>
        <w:rPr>
          <w:rFonts w:hint="eastAsia" w:ascii="宋体" w:hAnsi="宋体" w:eastAsia="宋体" w:cs="宋体"/>
          <w:sz w:val="24"/>
          <w:szCs w:val="24"/>
          <w:highlight w:val="none"/>
          <w:lang w:val="en-US" w:eastAsia="zh-CN"/>
        </w:rPr>
        <w:t>提交并通过项目所在地供电部门审核和备案</w:t>
      </w:r>
      <w:r>
        <w:rPr>
          <w:rFonts w:hint="eastAsia" w:ascii="宋体" w:hAnsi="宋体" w:eastAsia="宋体" w:cs="宋体"/>
          <w:sz w:val="24"/>
          <w:szCs w:val="24"/>
          <w:highlight w:val="none"/>
        </w:rPr>
        <w:t>。</w:t>
      </w:r>
    </w:p>
    <w:p w14:paraId="085422ED">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ascii="宋体" w:hAnsi="宋体" w:cs="宋体"/>
          <w:sz w:val="24"/>
          <w:szCs w:val="24"/>
          <w:highlight w:val="none"/>
          <w:lang w:val="en-US" w:eastAsia="zh-CN"/>
        </w:rPr>
        <w:t>7</w:t>
      </w: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rPr>
        <w:t xml:space="preserve"> 卖方保证所供货物是全新的、未使用过的，并完全符合合同规定的质量、规格和性能要求。卖方应保证其货物在正确安装、正常使用和正常保养的条件下，在其预计使用寿命期内均具有满意的性能。</w:t>
      </w:r>
    </w:p>
    <w:p w14:paraId="4816DE4E">
      <w:pPr>
        <w:spacing w:line="420" w:lineRule="exact"/>
        <w:ind w:firstLine="480" w:firstLineChars="200"/>
        <w:rPr>
          <w:rFonts w:ascii="Calibri" w:hAnsi="Calibri"/>
          <w:sz w:val="24"/>
          <w:szCs w:val="24"/>
        </w:rPr>
      </w:pPr>
      <w:r>
        <w:rPr>
          <w:rFonts w:ascii="Calibri" w:hAnsi="Calibri"/>
          <w:sz w:val="24"/>
          <w:szCs w:val="24"/>
        </w:rPr>
        <w:t>17.</w:t>
      </w:r>
      <w:r>
        <w:rPr>
          <w:rFonts w:hint="eastAsia" w:ascii="Calibri" w:hAnsi="Calibri"/>
          <w:sz w:val="24"/>
          <w:szCs w:val="24"/>
          <w:lang w:val="en-US" w:eastAsia="zh-CN"/>
        </w:rPr>
        <w:t>3</w:t>
      </w:r>
      <w:r>
        <w:rPr>
          <w:rFonts w:hint="eastAsia" w:ascii="Calibri" w:hAnsi="Calibri"/>
          <w:sz w:val="24"/>
          <w:szCs w:val="24"/>
        </w:rPr>
        <w:t xml:space="preserve">  根据当地有关部门的检验结果，或者在货物的质量保证（修）期内，发现其数量、质量或规格与合同不符，或发现设计、工艺、材料有瑕疵，或证实货物是有缺陷的，包括潜在的缺陷或使用不符合要求的材料等，买方应尽快以书面通知形式向卖方提出本保证条款下的索赔。</w:t>
      </w:r>
    </w:p>
    <w:p w14:paraId="799C441A">
      <w:pPr>
        <w:spacing w:line="420" w:lineRule="exact"/>
        <w:ind w:firstLine="480" w:firstLineChars="200"/>
        <w:rPr>
          <w:rFonts w:ascii="Calibri" w:hAnsi="Calibri"/>
          <w:sz w:val="24"/>
          <w:szCs w:val="24"/>
        </w:rPr>
      </w:pPr>
      <w:r>
        <w:rPr>
          <w:rFonts w:ascii="Calibri" w:hAnsi="Calibri"/>
          <w:sz w:val="24"/>
          <w:szCs w:val="24"/>
        </w:rPr>
        <w:t>17.</w:t>
      </w:r>
      <w:r>
        <w:rPr>
          <w:rFonts w:hint="eastAsia" w:ascii="Calibri" w:hAnsi="Calibri"/>
          <w:sz w:val="24"/>
          <w:szCs w:val="24"/>
          <w:lang w:val="en-US" w:eastAsia="zh-CN"/>
        </w:rPr>
        <w:t>4</w:t>
      </w:r>
      <w:r>
        <w:rPr>
          <w:rFonts w:hint="eastAsia" w:ascii="Calibri" w:hAnsi="Calibri"/>
          <w:sz w:val="24"/>
          <w:szCs w:val="24"/>
        </w:rPr>
        <w:t xml:space="preserve">  卖方在收到通知后，在其服务承诺的时间内负责免费维修、更换有缺陷的货物或部件。否则买方可采取必要的补救措施，但风险和费用将由卖方承担，且买方根据合同规定对卖方行使的其他权利不受影响。</w:t>
      </w:r>
    </w:p>
    <w:p w14:paraId="3275B174">
      <w:pPr>
        <w:spacing w:line="420" w:lineRule="exact"/>
        <w:ind w:firstLine="480" w:firstLineChars="200"/>
        <w:rPr>
          <w:rFonts w:ascii="Calibri" w:hAnsi="Calibri"/>
          <w:sz w:val="24"/>
          <w:szCs w:val="24"/>
        </w:rPr>
      </w:pPr>
      <w:r>
        <w:rPr>
          <w:rFonts w:ascii="Calibri" w:hAnsi="Calibri"/>
          <w:sz w:val="24"/>
          <w:szCs w:val="24"/>
        </w:rPr>
        <w:t>17.</w:t>
      </w:r>
      <w:r>
        <w:rPr>
          <w:rFonts w:hint="eastAsia" w:ascii="Calibri" w:hAnsi="Calibri"/>
          <w:sz w:val="24"/>
          <w:szCs w:val="24"/>
          <w:lang w:val="en-US" w:eastAsia="zh-CN"/>
        </w:rPr>
        <w:t>5</w:t>
      </w:r>
      <w:r>
        <w:rPr>
          <w:rFonts w:hint="eastAsia" w:ascii="Calibri" w:hAnsi="Calibri"/>
          <w:sz w:val="24"/>
          <w:szCs w:val="24"/>
        </w:rPr>
        <w:t xml:space="preserve"> 如在质量保证（修）期满之时，未发生</w:t>
      </w:r>
      <w:r>
        <w:rPr>
          <w:rFonts w:ascii="Calibri" w:hAnsi="Calibri"/>
          <w:sz w:val="24"/>
          <w:szCs w:val="24"/>
        </w:rPr>
        <w:t>17.</w:t>
      </w:r>
      <w:r>
        <w:rPr>
          <w:rFonts w:hint="eastAsia" w:ascii="Calibri" w:hAnsi="Calibri"/>
          <w:sz w:val="24"/>
          <w:szCs w:val="24"/>
          <w:lang w:val="en-US" w:eastAsia="zh-CN"/>
        </w:rPr>
        <w:t>3</w:t>
      </w:r>
      <w:r>
        <w:rPr>
          <w:rFonts w:hint="eastAsia" w:ascii="Calibri" w:hAnsi="Calibri"/>
          <w:sz w:val="24"/>
          <w:szCs w:val="24"/>
        </w:rPr>
        <w:t>条所述的索赔事宜，或虽发生但双方已按约处理结束，则买卖双方应在7天之内签署质量保证（修）期期满合格证书。</w:t>
      </w:r>
    </w:p>
    <w:p w14:paraId="6956506A">
      <w:pPr>
        <w:spacing w:line="420" w:lineRule="exact"/>
        <w:ind w:firstLine="480" w:firstLineChars="200"/>
        <w:rPr>
          <w:rFonts w:ascii="Calibri" w:hAnsi="Calibri"/>
          <w:sz w:val="24"/>
          <w:szCs w:val="24"/>
        </w:rPr>
      </w:pPr>
      <w:r>
        <w:rPr>
          <w:rFonts w:hint="eastAsia" w:ascii="Calibri" w:hAnsi="Calibri"/>
          <w:sz w:val="24"/>
          <w:szCs w:val="24"/>
        </w:rPr>
        <w:t>17.</w:t>
      </w:r>
      <w:r>
        <w:rPr>
          <w:rFonts w:hint="eastAsia" w:ascii="Calibri" w:hAnsi="Calibri"/>
          <w:sz w:val="24"/>
          <w:szCs w:val="24"/>
          <w:lang w:val="en-US" w:eastAsia="zh-CN"/>
        </w:rPr>
        <w:t>6</w:t>
      </w:r>
      <w:r>
        <w:rPr>
          <w:rFonts w:hint="eastAsia" w:ascii="Calibri" w:hAnsi="Calibri"/>
          <w:sz w:val="24"/>
          <w:szCs w:val="24"/>
        </w:rPr>
        <w:t xml:space="preserve"> 在保证（修）期内，同一货物或部件由于同一质量问题经过连续两次维修仍无法正常使用的，卖方应无条件给予全套更换，并相应延长质量保证（修）期。</w:t>
      </w:r>
    </w:p>
    <w:p w14:paraId="5125BA20">
      <w:pPr>
        <w:keepNext w:val="0"/>
        <w:keepLines w:val="0"/>
        <w:pageBreakBefore w:val="0"/>
        <w:widowControl w:val="0"/>
        <w:kinsoku/>
        <w:wordWrap/>
        <w:overflowPunct/>
        <w:topLinePunct w:val="0"/>
        <w:autoSpaceDE/>
        <w:autoSpaceDN/>
        <w:bidi w:val="0"/>
        <w:adjustRightInd/>
        <w:snapToGrid/>
        <w:spacing w:before="157" w:beforeLines="50" w:line="400" w:lineRule="exact"/>
        <w:ind w:firstLine="482" w:firstLineChars="200"/>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1</w:t>
      </w:r>
      <w:r>
        <w:rPr>
          <w:rFonts w:hint="eastAsia" w:ascii="宋体" w:hAnsi="宋体" w:cs="宋体"/>
          <w:b/>
          <w:bCs/>
          <w:sz w:val="24"/>
          <w:szCs w:val="24"/>
          <w:highlight w:val="none"/>
          <w:lang w:val="en-US" w:eastAsia="zh-CN"/>
        </w:rPr>
        <w:t>8</w:t>
      </w:r>
      <w:r>
        <w:rPr>
          <w:rFonts w:hint="eastAsia" w:ascii="宋体" w:hAnsi="宋体" w:eastAsia="宋体" w:cs="宋体"/>
          <w:b/>
          <w:bCs/>
          <w:sz w:val="24"/>
          <w:szCs w:val="24"/>
          <w:highlight w:val="none"/>
          <w:lang w:val="en-US" w:eastAsia="zh-CN"/>
        </w:rPr>
        <w:t>.</w:t>
      </w:r>
      <w:r>
        <w:rPr>
          <w:rFonts w:hint="eastAsia" w:ascii="宋体" w:hAnsi="宋体" w:eastAsia="宋体" w:cs="宋体"/>
          <w:b/>
          <w:bCs/>
          <w:sz w:val="24"/>
          <w:szCs w:val="24"/>
          <w:highlight w:val="none"/>
        </w:rPr>
        <w:t>质量保证（修）期</w:t>
      </w:r>
      <w:r>
        <w:rPr>
          <w:rFonts w:hint="eastAsia" w:ascii="宋体" w:hAnsi="宋体" w:eastAsia="宋体" w:cs="宋体"/>
          <w:b/>
          <w:bCs/>
          <w:sz w:val="24"/>
          <w:szCs w:val="24"/>
          <w:highlight w:val="none"/>
          <w:lang w:val="en-US" w:eastAsia="zh-CN"/>
        </w:rPr>
        <w:t>及</w:t>
      </w:r>
      <w:r>
        <w:rPr>
          <w:rFonts w:hint="eastAsia" w:ascii="宋体" w:hAnsi="宋体" w:eastAsia="宋体" w:cs="宋体"/>
          <w:b/>
          <w:bCs/>
          <w:sz w:val="24"/>
          <w:szCs w:val="24"/>
          <w:highlight w:val="none"/>
        </w:rPr>
        <w:t xml:space="preserve"> 索赔</w:t>
      </w:r>
    </w:p>
    <w:p w14:paraId="33EA8637">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ascii="宋体" w:hAnsi="宋体" w:cs="宋体"/>
          <w:sz w:val="24"/>
          <w:szCs w:val="24"/>
          <w:highlight w:val="none"/>
          <w:lang w:val="en-US" w:eastAsia="zh-CN"/>
        </w:rPr>
        <w:t>8</w:t>
      </w: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 xml:space="preserve">1 </w:t>
      </w:r>
      <w:r>
        <w:rPr>
          <w:rFonts w:hint="eastAsia" w:ascii="宋体" w:hAnsi="宋体" w:eastAsia="宋体" w:cs="宋体"/>
          <w:sz w:val="24"/>
          <w:szCs w:val="24"/>
          <w:highlight w:val="none"/>
        </w:rPr>
        <w:t>所有硬件</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软件</w:t>
      </w:r>
      <w:r>
        <w:rPr>
          <w:rFonts w:hint="eastAsia" w:ascii="宋体" w:hAnsi="宋体" w:eastAsia="宋体" w:cs="宋体"/>
          <w:sz w:val="24"/>
          <w:szCs w:val="24"/>
          <w:highlight w:val="none"/>
        </w:rPr>
        <w:t>设备质保期为</w:t>
      </w:r>
      <w:r>
        <w:rPr>
          <w:rFonts w:hint="eastAsia" w:ascii="宋体" w:hAnsi="宋体" w:eastAsia="宋体" w:cs="宋体"/>
          <w:sz w:val="24"/>
          <w:szCs w:val="24"/>
          <w:highlight w:val="none"/>
          <w:lang w:val="en-US" w:eastAsia="zh-CN"/>
        </w:rPr>
        <w:t>一</w:t>
      </w:r>
      <w:r>
        <w:rPr>
          <w:rFonts w:hint="eastAsia" w:ascii="宋体" w:hAnsi="宋体" w:eastAsia="宋体" w:cs="宋体"/>
          <w:sz w:val="24"/>
          <w:szCs w:val="24"/>
          <w:highlight w:val="none"/>
        </w:rPr>
        <w:t>年。项目整体内所有产品验收通过之日起开始计算。在质保期内，同一产品、同一质量问题连续两次维修仍无法正常使用，卖方无条件给予全套更换或退货。</w:t>
      </w:r>
    </w:p>
    <w:p w14:paraId="7767F2E6">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ascii="宋体" w:hAnsi="宋体" w:cs="宋体"/>
          <w:sz w:val="24"/>
          <w:szCs w:val="24"/>
          <w:highlight w:val="none"/>
          <w:lang w:val="en-US" w:eastAsia="zh-CN"/>
        </w:rPr>
        <w:t>8</w:t>
      </w: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rPr>
        <w:t>.1 在“合同条款”第17条规定的质量保证（修）期内，如果卖方对货物缺陷负有责任而买方提出了索赔，则卖方应按买方同意的下列一种或多种方式解决索赔事宜：</w:t>
      </w:r>
    </w:p>
    <w:p w14:paraId="343F8789">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ascii="宋体" w:hAnsi="宋体" w:cs="宋体"/>
          <w:sz w:val="24"/>
          <w:szCs w:val="24"/>
          <w:highlight w:val="none"/>
          <w:lang w:val="en-US" w:eastAsia="zh-CN"/>
        </w:rPr>
        <w:t>8</w:t>
      </w: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rPr>
        <w:t xml:space="preserve"> 卖方同意退货并用合同规定的货币将货款退还给买方，同时承担由此而导致的一切损失和费用，包括利息、银行手续费、运费、保险费、检验费、仓储费、装卸费以及为保护退回货物所需的其他费用；</w:t>
      </w:r>
    </w:p>
    <w:p w14:paraId="42C60439">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ascii="宋体" w:hAnsi="宋体" w:cs="宋体"/>
          <w:sz w:val="24"/>
          <w:szCs w:val="24"/>
          <w:highlight w:val="none"/>
          <w:lang w:val="en-US" w:eastAsia="zh-CN"/>
        </w:rPr>
        <w:t>8</w:t>
      </w: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rPr>
        <w:t xml:space="preserve"> 根据货物的低劣和损坏程度以及买方遭受的损失金额，经过双方商定，降低货物的价格，并及时将差额部分退还给买方；</w:t>
      </w:r>
    </w:p>
    <w:p w14:paraId="449E8F28">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ascii="宋体" w:hAnsi="宋体" w:cs="宋体"/>
          <w:sz w:val="24"/>
          <w:szCs w:val="24"/>
          <w:highlight w:val="none"/>
          <w:lang w:val="en-US" w:eastAsia="zh-CN"/>
        </w:rPr>
        <w:t>8</w:t>
      </w: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rPr>
        <w:t xml:space="preserve"> 用规格、质量和性能符合合同要求的新货物来更换有缺陷的部分，卖方应承担由此而导致的一切费用和保险，并负担买方因此而蒙受的全部直接经济损失。同时，卖方应按“合同条款”条17条的规定，相应延长更换货物的质量保证（修）期。</w:t>
      </w:r>
    </w:p>
    <w:p w14:paraId="64E1FFB1">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ascii="宋体" w:hAnsi="宋体" w:cs="宋体"/>
          <w:sz w:val="24"/>
          <w:szCs w:val="24"/>
          <w:highlight w:val="none"/>
          <w:lang w:val="en-US" w:eastAsia="zh-CN"/>
        </w:rPr>
        <w:t>8</w:t>
      </w: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rPr>
        <w:t xml:space="preserve"> 如果在买方发出索赔通知后的28天内，卖方未作答复，上述索赔应视为已被卖方接受。如卖方未能在买方发出索赔通知后的28天内或在买方同意的延长期限内，按照“合同条款”第18.</w:t>
      </w:r>
      <w:r>
        <w:rPr>
          <w:rFonts w:hint="eastAsia" w:ascii="宋体" w:hAnsi="宋体" w:cs="宋体"/>
          <w:sz w:val="24"/>
          <w:szCs w:val="24"/>
          <w:highlight w:val="none"/>
          <w:lang w:val="en-US" w:eastAsia="zh-CN"/>
        </w:rPr>
        <w:t>1</w:t>
      </w:r>
      <w:r>
        <w:rPr>
          <w:rFonts w:hint="eastAsia" w:ascii="宋体" w:hAnsi="宋体" w:eastAsia="宋体" w:cs="宋体"/>
          <w:sz w:val="24"/>
          <w:szCs w:val="24"/>
          <w:highlight w:val="none"/>
        </w:rPr>
        <w:t xml:space="preserve"> 条规定的任何一种或多种方法解决索赔事宜并使买方满意，买方将从卖方留存的履约保证金中扣回索赔金额而无需通过诉讼程序确认；如果索赔金额高于卖方留存的履约保证金或履约保证金已退还卖方，买方有权依约另行主张。</w:t>
      </w:r>
    </w:p>
    <w:p w14:paraId="6195D5ED">
      <w:pPr>
        <w:keepNext w:val="0"/>
        <w:keepLines w:val="0"/>
        <w:pageBreakBefore w:val="0"/>
        <w:widowControl w:val="0"/>
        <w:kinsoku/>
        <w:wordWrap/>
        <w:overflowPunct/>
        <w:topLinePunct w:val="0"/>
        <w:autoSpaceDE/>
        <w:autoSpaceDN/>
        <w:bidi w:val="0"/>
        <w:adjustRightInd/>
        <w:snapToGrid/>
        <w:spacing w:before="157" w:beforeLines="50" w:line="400" w:lineRule="exact"/>
        <w:ind w:firstLine="482" w:firstLineChars="200"/>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lang w:val="en-US" w:eastAsia="zh-CN"/>
        </w:rPr>
        <w:t>1</w:t>
      </w:r>
      <w:r>
        <w:rPr>
          <w:rFonts w:hint="eastAsia" w:ascii="宋体" w:hAnsi="宋体" w:cs="宋体"/>
          <w:b/>
          <w:bCs/>
          <w:sz w:val="24"/>
          <w:szCs w:val="24"/>
          <w:highlight w:val="none"/>
          <w:lang w:val="en-US" w:eastAsia="zh-CN"/>
        </w:rPr>
        <w:t>9</w:t>
      </w:r>
      <w:r>
        <w:rPr>
          <w:rFonts w:hint="eastAsia" w:ascii="宋体" w:hAnsi="宋体" w:eastAsia="宋体" w:cs="宋体"/>
          <w:b/>
          <w:bCs/>
          <w:sz w:val="24"/>
          <w:szCs w:val="24"/>
          <w:highlight w:val="none"/>
          <w:lang w:val="en-US" w:eastAsia="zh-CN"/>
        </w:rPr>
        <w:t>.</w:t>
      </w:r>
      <w:r>
        <w:rPr>
          <w:rFonts w:hint="eastAsia" w:ascii="宋体" w:hAnsi="宋体" w:eastAsia="宋体" w:cs="宋体"/>
          <w:b/>
          <w:bCs/>
          <w:sz w:val="24"/>
          <w:szCs w:val="24"/>
          <w:highlight w:val="none"/>
        </w:rPr>
        <w:t>通知与送达</w:t>
      </w:r>
    </w:p>
    <w:p w14:paraId="0896172B">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ascii="宋体" w:hAnsi="宋体" w:cs="宋体"/>
          <w:sz w:val="24"/>
          <w:szCs w:val="24"/>
          <w:highlight w:val="none"/>
          <w:lang w:val="en-US" w:eastAsia="zh-CN"/>
        </w:rPr>
        <w:t>9</w:t>
      </w:r>
      <w:r>
        <w:rPr>
          <w:rFonts w:hint="eastAsia" w:ascii="宋体" w:hAnsi="宋体" w:eastAsia="宋体" w:cs="宋体"/>
          <w:sz w:val="24"/>
          <w:szCs w:val="24"/>
          <w:highlight w:val="none"/>
        </w:rPr>
        <w:t>.1 本合同一方按照合同约定或法律规定向另一方送达任何文件、通知、回复及其他任何联系，必须用书面形式，且采用直接送达、传真、特快专递、挂号邮寄的方式，送达本合同所列另一方的地址或另一方以本条所述方式通知变更后的地址。如以直接送达的方式送达，则于另一方签收时视为送达；如以传真方式，在传真到达对方时视为已送达另一方，但须随后补发信函确认；如以特快专递方式，在投邮后（以寄出邮戳为准）第二日被视为已送达另一方；如以挂号邮寄的方式，在投邮后（以寄出邮戳为准）第四日将被视为已送达另一方。</w:t>
      </w:r>
    </w:p>
    <w:p w14:paraId="3242C94C">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ascii="宋体" w:hAnsi="宋体" w:cs="宋体"/>
          <w:sz w:val="24"/>
          <w:szCs w:val="24"/>
          <w:highlight w:val="none"/>
          <w:lang w:val="en-US" w:eastAsia="zh-CN"/>
        </w:rPr>
        <w:t>9</w:t>
      </w:r>
      <w:r>
        <w:rPr>
          <w:rFonts w:hint="eastAsia" w:ascii="宋体" w:hAnsi="宋体" w:eastAsia="宋体" w:cs="宋体"/>
          <w:sz w:val="24"/>
          <w:szCs w:val="24"/>
          <w:highlight w:val="none"/>
        </w:rPr>
        <w:t>.2. 文件、通知、回复等联系资料以送达之日或文件、通知、回复中规定的生效之日为生效日期，两个日期中以较晚的一个为准。</w:t>
      </w:r>
    </w:p>
    <w:p w14:paraId="5E38C2E1">
      <w:pPr>
        <w:keepNext w:val="0"/>
        <w:keepLines w:val="0"/>
        <w:pageBreakBefore w:val="0"/>
        <w:widowControl w:val="0"/>
        <w:kinsoku/>
        <w:wordWrap/>
        <w:overflowPunct/>
        <w:topLinePunct w:val="0"/>
        <w:autoSpaceDE/>
        <w:autoSpaceDN/>
        <w:bidi w:val="0"/>
        <w:adjustRightInd/>
        <w:snapToGrid/>
        <w:spacing w:before="157" w:beforeLines="50" w:line="400" w:lineRule="exact"/>
        <w:ind w:firstLine="482" w:firstLineChars="200"/>
        <w:textAlignment w:val="auto"/>
        <w:rPr>
          <w:rFonts w:hint="eastAsia" w:ascii="宋体" w:hAnsi="宋体" w:eastAsia="宋体" w:cs="宋体"/>
          <w:b/>
          <w:bCs/>
          <w:sz w:val="24"/>
          <w:szCs w:val="24"/>
          <w:highlight w:val="none"/>
        </w:rPr>
      </w:pPr>
      <w:r>
        <w:rPr>
          <w:rFonts w:hint="eastAsia" w:ascii="宋体" w:hAnsi="宋体" w:cs="宋体"/>
          <w:b/>
          <w:bCs/>
          <w:sz w:val="24"/>
          <w:szCs w:val="24"/>
          <w:highlight w:val="none"/>
          <w:lang w:val="en-US" w:eastAsia="zh-CN"/>
        </w:rPr>
        <w:t>20</w:t>
      </w:r>
      <w:r>
        <w:rPr>
          <w:rFonts w:hint="eastAsia" w:ascii="宋体" w:hAnsi="宋体" w:eastAsia="宋体" w:cs="宋体"/>
          <w:b/>
          <w:bCs/>
          <w:sz w:val="24"/>
          <w:szCs w:val="24"/>
          <w:highlight w:val="none"/>
          <w:lang w:val="en-US" w:eastAsia="zh-CN"/>
        </w:rPr>
        <w:t>.</w:t>
      </w:r>
      <w:r>
        <w:rPr>
          <w:rFonts w:hint="eastAsia" w:ascii="宋体" w:hAnsi="宋体" w:eastAsia="宋体" w:cs="宋体"/>
          <w:b/>
          <w:bCs/>
          <w:sz w:val="24"/>
          <w:szCs w:val="24"/>
          <w:highlight w:val="none"/>
        </w:rPr>
        <w:t>变更指令</w:t>
      </w:r>
    </w:p>
    <w:p w14:paraId="1FC761EA">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20</w:t>
      </w:r>
      <w:r>
        <w:rPr>
          <w:rFonts w:hint="eastAsia" w:ascii="宋体" w:hAnsi="宋体" w:eastAsia="宋体" w:cs="宋体"/>
          <w:sz w:val="24"/>
          <w:szCs w:val="24"/>
          <w:highlight w:val="none"/>
        </w:rPr>
        <w:t>.1 根据“合同条款”第19条规定，买方可在任何时候向卖方发出书面指令，以在本合同的一般范围内变更下列一项或几项：</w:t>
      </w:r>
    </w:p>
    <w:p w14:paraId="6EB93EC2">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20</w:t>
      </w:r>
      <w:r>
        <w:rPr>
          <w:rFonts w:hint="eastAsia" w:ascii="宋体" w:hAnsi="宋体" w:eastAsia="宋体" w:cs="宋体"/>
          <w:sz w:val="24"/>
          <w:szCs w:val="24"/>
          <w:highlight w:val="none"/>
        </w:rPr>
        <w:t>.1.1 本合同项下提供的货物是专为买方制造时，变更设计、图样或规格；</w:t>
      </w:r>
    </w:p>
    <w:p w14:paraId="17998FEB">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20</w:t>
      </w:r>
      <w:r>
        <w:rPr>
          <w:rFonts w:hint="eastAsia" w:ascii="宋体" w:hAnsi="宋体" w:eastAsia="宋体" w:cs="宋体"/>
          <w:sz w:val="24"/>
          <w:szCs w:val="24"/>
          <w:highlight w:val="none"/>
        </w:rPr>
        <w:t>.1.2 货物的运输或包装方法或交货地点。</w:t>
      </w:r>
    </w:p>
    <w:p w14:paraId="4C31CF34">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20</w:t>
      </w:r>
      <w:r>
        <w:rPr>
          <w:rFonts w:hint="eastAsia" w:ascii="宋体" w:hAnsi="宋体" w:eastAsia="宋体" w:cs="宋体"/>
          <w:sz w:val="24"/>
          <w:szCs w:val="24"/>
          <w:highlight w:val="none"/>
        </w:rPr>
        <w:t>.2 如果上述变更使卖方履行合同义务的费用和(或)时间发生了增加或减少，则相应的合同价格和(或)交货时间作合理的调整，同时应对合同作相应的修改。卖方根据本条进行调整的要求必须在收到买方的变更指令后的28天内提出。</w:t>
      </w:r>
    </w:p>
    <w:p w14:paraId="2C1DFF7B">
      <w:pPr>
        <w:keepNext w:val="0"/>
        <w:keepLines w:val="0"/>
        <w:pageBreakBefore w:val="0"/>
        <w:widowControl w:val="0"/>
        <w:kinsoku/>
        <w:wordWrap/>
        <w:overflowPunct/>
        <w:topLinePunct w:val="0"/>
        <w:autoSpaceDE/>
        <w:autoSpaceDN/>
        <w:bidi w:val="0"/>
        <w:adjustRightInd/>
        <w:snapToGrid/>
        <w:spacing w:before="157" w:beforeLines="50" w:line="400" w:lineRule="exact"/>
        <w:ind w:firstLine="482" w:firstLineChars="200"/>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2</w:t>
      </w:r>
      <w:r>
        <w:rPr>
          <w:rFonts w:hint="eastAsia" w:ascii="宋体" w:hAnsi="宋体" w:cs="宋体"/>
          <w:b/>
          <w:bCs/>
          <w:sz w:val="24"/>
          <w:szCs w:val="24"/>
          <w:highlight w:val="none"/>
          <w:lang w:val="en-US" w:eastAsia="zh-CN"/>
        </w:rPr>
        <w:t>1</w:t>
      </w:r>
      <w:r>
        <w:rPr>
          <w:rFonts w:hint="eastAsia" w:ascii="宋体" w:hAnsi="宋体" w:eastAsia="宋体" w:cs="宋体"/>
          <w:b/>
          <w:bCs/>
          <w:sz w:val="24"/>
          <w:szCs w:val="24"/>
          <w:highlight w:val="none"/>
          <w:lang w:val="en-US" w:eastAsia="zh-CN"/>
        </w:rPr>
        <w:t>.</w:t>
      </w:r>
      <w:r>
        <w:rPr>
          <w:rFonts w:hint="eastAsia" w:ascii="宋体" w:hAnsi="宋体" w:eastAsia="宋体" w:cs="宋体"/>
          <w:b/>
          <w:bCs/>
          <w:sz w:val="24"/>
          <w:szCs w:val="24"/>
          <w:highlight w:val="none"/>
        </w:rPr>
        <w:t>合同修改</w:t>
      </w:r>
    </w:p>
    <w:p w14:paraId="194356B6">
      <w:pPr>
        <w:pageBreakBefore w:val="0"/>
        <w:kinsoku/>
        <w:wordWrap/>
        <w:topLinePunct w:val="0"/>
        <w:bidi w:val="0"/>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除“合同条款”第</w:t>
      </w:r>
      <w:r>
        <w:rPr>
          <w:rFonts w:hint="eastAsia" w:ascii="宋体" w:hAnsi="宋体" w:cs="宋体"/>
          <w:sz w:val="24"/>
          <w:szCs w:val="24"/>
          <w:highlight w:val="none"/>
          <w:lang w:val="en-US" w:eastAsia="zh-CN"/>
        </w:rPr>
        <w:t>19</w:t>
      </w:r>
      <w:r>
        <w:rPr>
          <w:rFonts w:hint="eastAsia" w:ascii="宋体" w:hAnsi="宋体" w:eastAsia="宋体" w:cs="宋体"/>
          <w:sz w:val="24"/>
          <w:szCs w:val="24"/>
          <w:highlight w:val="none"/>
        </w:rPr>
        <w:t>条的规定外，任何对合同条件的变更或修改均须由双方签订书面修改协议。</w:t>
      </w:r>
    </w:p>
    <w:p w14:paraId="6117D35F">
      <w:pPr>
        <w:keepNext w:val="0"/>
        <w:keepLines w:val="0"/>
        <w:pageBreakBefore w:val="0"/>
        <w:widowControl w:val="0"/>
        <w:kinsoku/>
        <w:wordWrap/>
        <w:overflowPunct/>
        <w:topLinePunct w:val="0"/>
        <w:autoSpaceDE/>
        <w:autoSpaceDN/>
        <w:bidi w:val="0"/>
        <w:adjustRightInd/>
        <w:snapToGrid/>
        <w:spacing w:before="157" w:beforeLines="50" w:line="400" w:lineRule="exact"/>
        <w:ind w:firstLine="482" w:firstLineChars="200"/>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2</w:t>
      </w:r>
      <w:r>
        <w:rPr>
          <w:rFonts w:hint="eastAsia" w:ascii="宋体" w:hAnsi="宋体" w:cs="宋体"/>
          <w:b/>
          <w:bCs/>
          <w:sz w:val="24"/>
          <w:szCs w:val="24"/>
          <w:highlight w:val="none"/>
          <w:lang w:val="en-US" w:eastAsia="zh-CN"/>
        </w:rPr>
        <w:t>2</w:t>
      </w:r>
      <w:r>
        <w:rPr>
          <w:rFonts w:hint="eastAsia" w:ascii="宋体" w:hAnsi="宋体" w:eastAsia="宋体" w:cs="宋体"/>
          <w:b/>
          <w:bCs/>
          <w:sz w:val="24"/>
          <w:szCs w:val="24"/>
          <w:highlight w:val="none"/>
        </w:rPr>
        <w:t xml:space="preserve"> 卖方履约期间</w:t>
      </w:r>
    </w:p>
    <w:p w14:paraId="594F6598">
      <w:pPr>
        <w:pageBreakBefore w:val="0"/>
        <w:widowControl/>
        <w:tabs>
          <w:tab w:val="left" w:pos="1260"/>
        </w:tabs>
        <w:kinsoku/>
        <w:wordWrap/>
        <w:topLinePunct w:val="0"/>
        <w:bidi w:val="0"/>
        <w:spacing w:line="40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2</w:t>
      </w:r>
      <w:r>
        <w:rPr>
          <w:rFonts w:hint="eastAsia" w:ascii="宋体" w:hAnsi="宋体" w:cs="宋体"/>
          <w:sz w:val="24"/>
          <w:szCs w:val="24"/>
          <w:highlight w:val="none"/>
          <w:lang w:val="en-US" w:eastAsia="zh-CN"/>
        </w:rPr>
        <w:t>2</w:t>
      </w:r>
      <w:r>
        <w:rPr>
          <w:rFonts w:hint="eastAsia" w:ascii="宋体" w:hAnsi="宋体" w:eastAsia="宋体" w:cs="宋体"/>
          <w:sz w:val="24"/>
          <w:szCs w:val="24"/>
          <w:highlight w:val="none"/>
        </w:rPr>
        <w:t>.1</w:t>
      </w:r>
      <w:r>
        <w:rPr>
          <w:rFonts w:hint="eastAsia" w:ascii="宋体" w:hAnsi="宋体" w:cs="宋体"/>
          <w:sz w:val="24"/>
          <w:szCs w:val="24"/>
          <w:highlight w:val="none"/>
          <w:lang w:val="en-US" w:eastAsia="zh-CN"/>
        </w:rPr>
        <w:t>卖方</w:t>
      </w:r>
      <w:r>
        <w:rPr>
          <w:rFonts w:hint="eastAsia" w:ascii="宋体" w:hAnsi="宋体" w:eastAsia="宋体" w:cs="宋体"/>
          <w:sz w:val="24"/>
          <w:szCs w:val="24"/>
          <w:highlight w:val="none"/>
        </w:rPr>
        <w:t>在合同签订之日起30个日历天内把货物送至买方指定地点，运费由卖方承担；货物交付后30个日历天内，卖方应按买方要求安装调试完毕。本次设备安装调试试运行</w:t>
      </w: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rPr>
        <w:t>个月后，由买方组织验收。卖方提供相关合格证、证明材料、随机资料等。只要有一项不符合买方要求就为验收不合格，验收不合格，买方不付款。逾期交货，按500元/日的违约金从货款中扣除。除不可抗力的原因外，卖方超过合同规定的履行期限十日内仍不能交付本合同项目货物的，视为不能交货，买方有权选择决定是否继续履行本合同，如买方决定终止本合同的履行，则卖方必须承担不能交货的违约责任。</w:t>
      </w:r>
    </w:p>
    <w:p w14:paraId="591CB335">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w:t>
      </w:r>
      <w:r>
        <w:rPr>
          <w:rFonts w:hint="eastAsia" w:ascii="宋体" w:hAnsi="宋体" w:cs="宋体"/>
          <w:sz w:val="24"/>
          <w:szCs w:val="24"/>
          <w:highlight w:val="none"/>
          <w:lang w:val="en-US" w:eastAsia="zh-CN"/>
        </w:rPr>
        <w:t>2</w:t>
      </w:r>
      <w:r>
        <w:rPr>
          <w:rFonts w:hint="eastAsia" w:ascii="宋体" w:hAnsi="宋体" w:eastAsia="宋体" w:cs="宋体"/>
          <w:sz w:val="24"/>
          <w:szCs w:val="24"/>
          <w:highlight w:val="none"/>
        </w:rPr>
        <w:t>.2 在履行合同过程中，如果卖方遇到了可能妨碍按时交货或提供服务的情况时，应及时以书面形式将拖延的原因、可能拖延的时间及理由通知买方。买方在收到卖方的通知后，应尽快对所述情况进行评价，并确定是否通过修改合同，酌情延长交货时间或延期提供服务。</w:t>
      </w:r>
    </w:p>
    <w:p w14:paraId="6A362985">
      <w:pPr>
        <w:keepNext w:val="0"/>
        <w:keepLines w:val="0"/>
        <w:pageBreakBefore w:val="0"/>
        <w:widowControl w:val="0"/>
        <w:kinsoku/>
        <w:wordWrap/>
        <w:overflowPunct/>
        <w:topLinePunct w:val="0"/>
        <w:autoSpaceDE/>
        <w:autoSpaceDN/>
        <w:bidi w:val="0"/>
        <w:adjustRightInd/>
        <w:snapToGrid/>
        <w:spacing w:before="157" w:beforeLines="50" w:line="400" w:lineRule="exact"/>
        <w:ind w:firstLine="482" w:firstLineChars="200"/>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2</w:t>
      </w:r>
      <w:r>
        <w:rPr>
          <w:rFonts w:hint="eastAsia" w:ascii="宋体" w:hAnsi="宋体" w:cs="宋体"/>
          <w:b/>
          <w:bCs/>
          <w:sz w:val="24"/>
          <w:szCs w:val="24"/>
          <w:highlight w:val="none"/>
          <w:lang w:val="en-US" w:eastAsia="zh-CN"/>
        </w:rPr>
        <w:t>3.</w:t>
      </w:r>
      <w:r>
        <w:rPr>
          <w:rFonts w:hint="eastAsia" w:ascii="宋体" w:hAnsi="宋体" w:eastAsia="宋体" w:cs="宋体"/>
          <w:b/>
          <w:bCs/>
          <w:sz w:val="24"/>
          <w:szCs w:val="24"/>
          <w:highlight w:val="none"/>
        </w:rPr>
        <w:t xml:space="preserve"> 误期赔偿</w:t>
      </w:r>
    </w:p>
    <w:p w14:paraId="439CAEA1">
      <w:pPr>
        <w:pageBreakBefore w:val="0"/>
        <w:kinsoku/>
        <w:wordWrap/>
        <w:topLinePunct w:val="0"/>
        <w:bidi w:val="0"/>
        <w:spacing w:line="400" w:lineRule="exact"/>
        <w:ind w:firstLine="480"/>
        <w:rPr>
          <w:rFonts w:hint="eastAsia" w:ascii="宋体" w:hAnsi="宋体" w:eastAsia="宋体" w:cs="宋体"/>
          <w:sz w:val="24"/>
          <w:szCs w:val="24"/>
          <w:highlight w:val="none"/>
        </w:rPr>
      </w:pPr>
      <w:r>
        <w:rPr>
          <w:rFonts w:hint="eastAsia" w:ascii="宋体" w:hAnsi="宋体" w:eastAsia="宋体" w:cs="宋体"/>
          <w:sz w:val="24"/>
          <w:szCs w:val="24"/>
          <w:highlight w:val="none"/>
        </w:rPr>
        <w:t>除“合同条款”第2</w:t>
      </w:r>
      <w:r>
        <w:rPr>
          <w:rFonts w:hint="eastAsia" w:ascii="宋体" w:hAnsi="宋体" w:cs="宋体"/>
          <w:sz w:val="24"/>
          <w:szCs w:val="24"/>
          <w:highlight w:val="none"/>
          <w:lang w:val="en-US" w:eastAsia="zh-CN"/>
        </w:rPr>
        <w:t>4</w:t>
      </w:r>
      <w:r>
        <w:rPr>
          <w:rFonts w:hint="eastAsia" w:ascii="宋体" w:hAnsi="宋体" w:eastAsia="宋体" w:cs="宋体"/>
          <w:sz w:val="24"/>
          <w:szCs w:val="24"/>
          <w:highlight w:val="none"/>
        </w:rPr>
        <w:t>条规定外，如果卖方没有按照合同规定的期限交货或提供服务，买方将从合同价款中扣除误期赔偿费，且不会因此而影响在合同项下要求卖方采取其他补救措施。并处每延误一天交付买方使用的，按合同价格1%罚款，直至交付买方使用为止；每延误一天提供质量保证（修）服务的，按合同价格的1%罚款，直至完成保证（修）服务至买方满意为止。买方也可考虑根据“合同条款”第28条的规定终止合同。</w:t>
      </w:r>
    </w:p>
    <w:p w14:paraId="5B4D1EA9">
      <w:pPr>
        <w:keepNext w:val="0"/>
        <w:keepLines w:val="0"/>
        <w:pageBreakBefore w:val="0"/>
        <w:widowControl w:val="0"/>
        <w:kinsoku/>
        <w:wordWrap/>
        <w:overflowPunct/>
        <w:topLinePunct w:val="0"/>
        <w:autoSpaceDE/>
        <w:autoSpaceDN/>
        <w:bidi w:val="0"/>
        <w:adjustRightInd/>
        <w:snapToGrid/>
        <w:spacing w:before="157" w:beforeLines="50" w:line="400" w:lineRule="exact"/>
        <w:ind w:firstLine="482" w:firstLineChars="200"/>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2</w:t>
      </w:r>
      <w:r>
        <w:rPr>
          <w:rFonts w:hint="eastAsia" w:ascii="宋体" w:hAnsi="宋体" w:cs="宋体"/>
          <w:b/>
          <w:bCs/>
          <w:sz w:val="24"/>
          <w:szCs w:val="24"/>
          <w:highlight w:val="none"/>
          <w:lang w:val="en-US" w:eastAsia="zh-CN"/>
        </w:rPr>
        <w:t>4</w:t>
      </w:r>
      <w:r>
        <w:rPr>
          <w:rFonts w:hint="eastAsia" w:ascii="宋体" w:hAnsi="宋体" w:eastAsia="宋体" w:cs="宋体"/>
          <w:b/>
          <w:bCs/>
          <w:sz w:val="24"/>
          <w:szCs w:val="24"/>
          <w:highlight w:val="none"/>
          <w:lang w:val="en-US" w:eastAsia="zh-CN"/>
        </w:rPr>
        <w:t>.</w:t>
      </w:r>
      <w:r>
        <w:rPr>
          <w:rFonts w:hint="eastAsia" w:ascii="宋体" w:hAnsi="宋体" w:eastAsia="宋体" w:cs="宋体"/>
          <w:b/>
          <w:bCs/>
          <w:sz w:val="24"/>
          <w:szCs w:val="24"/>
          <w:highlight w:val="none"/>
        </w:rPr>
        <w:t>不可抗力</w:t>
      </w:r>
    </w:p>
    <w:p w14:paraId="7484D333">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w:t>
      </w:r>
      <w:r>
        <w:rPr>
          <w:rFonts w:hint="eastAsia" w:ascii="宋体" w:hAnsi="宋体" w:cs="宋体"/>
          <w:sz w:val="24"/>
          <w:szCs w:val="24"/>
          <w:highlight w:val="none"/>
          <w:lang w:val="en-US" w:eastAsia="zh-CN"/>
        </w:rPr>
        <w:t>4</w:t>
      </w:r>
      <w:r>
        <w:rPr>
          <w:rFonts w:hint="eastAsia" w:ascii="宋体" w:hAnsi="宋体" w:eastAsia="宋体" w:cs="宋体"/>
          <w:sz w:val="24"/>
          <w:szCs w:val="24"/>
          <w:highlight w:val="none"/>
        </w:rPr>
        <w:t>.1 如果因不可抗力而导致合同实施延误或不能履行合同义务的话，受不可抗力影响的一方不应承担违约责任(包括误期赔偿责任、被没收履约保证金或被终止合同等)。</w:t>
      </w:r>
    </w:p>
    <w:p w14:paraId="656EDE15">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w:t>
      </w:r>
      <w:r>
        <w:rPr>
          <w:rFonts w:hint="eastAsia" w:ascii="宋体" w:hAnsi="宋体" w:cs="宋体"/>
          <w:sz w:val="24"/>
          <w:szCs w:val="24"/>
          <w:highlight w:val="none"/>
          <w:lang w:val="en-US" w:eastAsia="zh-CN"/>
        </w:rPr>
        <w:t>4</w:t>
      </w:r>
      <w:r>
        <w:rPr>
          <w:rFonts w:hint="eastAsia" w:ascii="宋体" w:hAnsi="宋体" w:eastAsia="宋体" w:cs="宋体"/>
          <w:sz w:val="24"/>
          <w:szCs w:val="24"/>
          <w:highlight w:val="none"/>
        </w:rPr>
        <w:t>.2 本条所述的“不可抗力”系指那些不能预见、不能避免并不能克服的客观情况，但不包括违约或疏忽。这些情况包括但不限于：战争、严重火灾、洪水、8级以上台风、5级以上地震以及政府相关部门发布的认为是不可抗力的事件。</w:t>
      </w:r>
    </w:p>
    <w:p w14:paraId="6E69F516">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w:t>
      </w:r>
      <w:r>
        <w:rPr>
          <w:rFonts w:hint="eastAsia" w:ascii="宋体" w:hAnsi="宋体" w:cs="宋体"/>
          <w:sz w:val="24"/>
          <w:szCs w:val="24"/>
          <w:highlight w:val="none"/>
          <w:lang w:val="en-US" w:eastAsia="zh-CN"/>
        </w:rPr>
        <w:t>4</w:t>
      </w:r>
      <w:r>
        <w:rPr>
          <w:rFonts w:hint="eastAsia" w:ascii="宋体" w:hAnsi="宋体" w:eastAsia="宋体" w:cs="宋体"/>
          <w:sz w:val="24"/>
          <w:szCs w:val="24"/>
          <w:highlight w:val="none"/>
        </w:rPr>
        <w:t>.3 在不可抗力事件发生后，受不可抗力影响的一方应尽快以书面形式将不可抗力的情况和原因通知对方。除对方书面另行要求外，受不可抗力影响的一方应尽实际可能继续履行合同义务，并积极寻求采取合理的方案履行未受到不可抗力影响的其他合同事项。</w:t>
      </w:r>
    </w:p>
    <w:p w14:paraId="73E239A2">
      <w:pPr>
        <w:keepNext w:val="0"/>
        <w:keepLines w:val="0"/>
        <w:pageBreakBefore w:val="0"/>
        <w:widowControl w:val="0"/>
        <w:kinsoku/>
        <w:wordWrap/>
        <w:overflowPunct/>
        <w:topLinePunct w:val="0"/>
        <w:autoSpaceDE/>
        <w:autoSpaceDN/>
        <w:bidi w:val="0"/>
        <w:adjustRightInd/>
        <w:snapToGrid/>
        <w:spacing w:before="157" w:beforeLines="50" w:line="400" w:lineRule="exact"/>
        <w:ind w:firstLine="482" w:firstLineChars="200"/>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lang w:val="en-US" w:eastAsia="zh-CN"/>
        </w:rPr>
        <w:t>2</w:t>
      </w:r>
      <w:r>
        <w:rPr>
          <w:rFonts w:hint="eastAsia" w:ascii="宋体" w:hAnsi="宋体" w:cs="宋体"/>
          <w:b/>
          <w:bCs/>
          <w:sz w:val="24"/>
          <w:szCs w:val="24"/>
          <w:highlight w:val="none"/>
          <w:lang w:val="en-US" w:eastAsia="zh-CN"/>
        </w:rPr>
        <w:t>5</w:t>
      </w:r>
      <w:r>
        <w:rPr>
          <w:rFonts w:hint="eastAsia" w:ascii="宋体" w:hAnsi="宋体" w:eastAsia="宋体" w:cs="宋体"/>
          <w:b/>
          <w:bCs/>
          <w:sz w:val="24"/>
          <w:szCs w:val="24"/>
          <w:highlight w:val="none"/>
          <w:lang w:val="en-US" w:eastAsia="zh-CN"/>
        </w:rPr>
        <w:t>.</w:t>
      </w:r>
      <w:r>
        <w:rPr>
          <w:rFonts w:hint="eastAsia" w:ascii="宋体" w:hAnsi="宋体" w:eastAsia="宋体" w:cs="宋体"/>
          <w:b/>
          <w:bCs/>
          <w:sz w:val="24"/>
          <w:szCs w:val="24"/>
          <w:highlight w:val="none"/>
        </w:rPr>
        <w:t>税费</w:t>
      </w:r>
    </w:p>
    <w:p w14:paraId="3695C83A">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根据现行税法规定</w:t>
      </w:r>
      <w:r>
        <w:rPr>
          <w:rFonts w:hint="eastAsia" w:ascii="宋体" w:hAnsi="宋体" w:eastAsia="宋体" w:cs="宋体"/>
          <w:sz w:val="24"/>
          <w:szCs w:val="24"/>
          <w:highlight w:val="none"/>
          <w:lang w:val="en-US" w:eastAsia="zh-CN"/>
        </w:rPr>
        <w:t>需对</w:t>
      </w:r>
      <w:r>
        <w:rPr>
          <w:rFonts w:hint="eastAsia" w:ascii="宋体" w:hAnsi="宋体" w:eastAsia="宋体" w:cs="宋体"/>
          <w:sz w:val="24"/>
          <w:szCs w:val="24"/>
          <w:highlight w:val="none"/>
        </w:rPr>
        <w:t>本合同有关的一切税费均应由</w:t>
      </w:r>
      <w:r>
        <w:rPr>
          <w:rFonts w:hint="eastAsia" w:ascii="宋体" w:hAnsi="宋体" w:eastAsia="宋体" w:cs="宋体"/>
          <w:sz w:val="24"/>
          <w:szCs w:val="24"/>
          <w:highlight w:val="none"/>
          <w:lang w:val="en-US" w:eastAsia="zh-CN"/>
        </w:rPr>
        <w:t>卖</w:t>
      </w:r>
      <w:r>
        <w:rPr>
          <w:rFonts w:hint="eastAsia" w:ascii="宋体" w:hAnsi="宋体" w:eastAsia="宋体" w:cs="宋体"/>
          <w:sz w:val="24"/>
          <w:szCs w:val="24"/>
          <w:highlight w:val="none"/>
        </w:rPr>
        <w:t>方负担。</w:t>
      </w:r>
    </w:p>
    <w:p w14:paraId="406AAA97">
      <w:pPr>
        <w:keepNext w:val="0"/>
        <w:keepLines w:val="0"/>
        <w:pageBreakBefore w:val="0"/>
        <w:widowControl w:val="0"/>
        <w:kinsoku/>
        <w:wordWrap/>
        <w:overflowPunct/>
        <w:topLinePunct w:val="0"/>
        <w:autoSpaceDE/>
        <w:autoSpaceDN/>
        <w:bidi w:val="0"/>
        <w:adjustRightInd/>
        <w:snapToGrid/>
        <w:spacing w:before="157" w:beforeLines="50" w:line="400" w:lineRule="exact"/>
        <w:ind w:firstLine="482" w:firstLineChars="200"/>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2</w:t>
      </w:r>
      <w:r>
        <w:rPr>
          <w:rFonts w:hint="eastAsia" w:ascii="宋体" w:hAnsi="宋体" w:cs="宋体"/>
          <w:b/>
          <w:bCs/>
          <w:sz w:val="24"/>
          <w:szCs w:val="24"/>
          <w:highlight w:val="none"/>
          <w:lang w:val="en-US" w:eastAsia="zh-CN"/>
        </w:rPr>
        <w:t>6</w:t>
      </w:r>
      <w:r>
        <w:rPr>
          <w:rFonts w:hint="eastAsia" w:ascii="宋体" w:hAnsi="宋体" w:eastAsia="宋体" w:cs="宋体"/>
          <w:b/>
          <w:bCs/>
          <w:sz w:val="24"/>
          <w:szCs w:val="24"/>
          <w:highlight w:val="none"/>
          <w:lang w:val="en-US" w:eastAsia="zh-CN"/>
        </w:rPr>
        <w:t>.</w:t>
      </w:r>
      <w:r>
        <w:rPr>
          <w:rFonts w:hint="eastAsia" w:ascii="宋体" w:hAnsi="宋体" w:eastAsia="宋体" w:cs="宋体"/>
          <w:b/>
          <w:bCs/>
          <w:sz w:val="24"/>
          <w:szCs w:val="24"/>
          <w:highlight w:val="none"/>
        </w:rPr>
        <w:t>履约保证金</w:t>
      </w:r>
      <w:r>
        <w:rPr>
          <w:rFonts w:hint="eastAsia" w:ascii="宋体" w:hAnsi="宋体" w:eastAsia="宋体" w:cs="宋体"/>
          <w:b/>
          <w:bCs/>
          <w:sz w:val="24"/>
          <w:szCs w:val="24"/>
          <w:highlight w:val="none"/>
          <w:lang w:val="en-US" w:eastAsia="zh-CN"/>
        </w:rPr>
        <w:t>及</w:t>
      </w:r>
      <w:r>
        <w:rPr>
          <w:rFonts w:hint="eastAsia" w:ascii="宋体" w:hAnsi="宋体" w:eastAsia="宋体" w:cs="宋体"/>
          <w:b/>
          <w:bCs/>
          <w:sz w:val="24"/>
          <w:szCs w:val="24"/>
          <w:highlight w:val="none"/>
        </w:rPr>
        <w:t>付款计划</w:t>
      </w:r>
    </w:p>
    <w:p w14:paraId="3ACE6DEC">
      <w:pPr>
        <w:pageBreakBefore w:val="0"/>
        <w:kinsoku/>
        <w:wordWrap/>
        <w:topLinePunct w:val="0"/>
        <w:bidi w:val="0"/>
        <w:spacing w:line="400" w:lineRule="exact"/>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合同签订合同前，卖方缴纳合同价10%的履约保证金至买方账户。由买方组织验收</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经买方验收合格，</w:t>
      </w:r>
      <w:r>
        <w:rPr>
          <w:rFonts w:hint="eastAsia" w:ascii="宋体" w:hAnsi="宋体" w:eastAsia="宋体" w:cs="宋体"/>
          <w:sz w:val="24"/>
          <w:szCs w:val="24"/>
          <w:highlight w:val="none"/>
          <w:lang w:val="en-US" w:eastAsia="zh-CN"/>
        </w:rPr>
        <w:t>按结算金额</w:t>
      </w:r>
      <w:r>
        <w:rPr>
          <w:rFonts w:hint="eastAsia" w:ascii="宋体" w:hAnsi="宋体" w:eastAsia="宋体" w:cs="宋体"/>
          <w:sz w:val="24"/>
          <w:szCs w:val="24"/>
          <w:highlight w:val="none"/>
        </w:rPr>
        <w:t>全额开具增值税专用发票后，20日内支付合同总额的97%，同时退还履约保证金，余款作为</w:t>
      </w:r>
      <w:r>
        <w:rPr>
          <w:rFonts w:hint="eastAsia" w:ascii="宋体" w:hAnsi="宋体" w:eastAsia="宋体" w:cs="宋体"/>
          <w:sz w:val="24"/>
          <w:szCs w:val="24"/>
          <w:highlight w:val="none"/>
          <w:lang w:val="en-US" w:eastAsia="zh-CN"/>
        </w:rPr>
        <w:t>质保金</w:t>
      </w:r>
      <w:r>
        <w:rPr>
          <w:rFonts w:hint="eastAsia" w:ascii="宋体" w:hAnsi="宋体" w:eastAsia="宋体" w:cs="宋体"/>
          <w:sz w:val="24"/>
          <w:szCs w:val="24"/>
          <w:highlight w:val="none"/>
        </w:rPr>
        <w:t>待质保期（</w:t>
      </w:r>
      <w:r>
        <w:rPr>
          <w:rFonts w:hint="eastAsia" w:ascii="宋体" w:hAnsi="宋体" w:eastAsia="宋体" w:cs="宋体"/>
          <w:sz w:val="24"/>
          <w:szCs w:val="24"/>
          <w:highlight w:val="none"/>
          <w:lang w:val="en-US" w:eastAsia="zh-CN"/>
        </w:rPr>
        <w:t>一</w:t>
      </w:r>
      <w:r>
        <w:rPr>
          <w:rFonts w:hint="eastAsia" w:ascii="宋体" w:hAnsi="宋体" w:eastAsia="宋体" w:cs="宋体"/>
          <w:sz w:val="24"/>
          <w:szCs w:val="24"/>
          <w:highlight w:val="none"/>
        </w:rPr>
        <w:t>年，自验收合格之日起计算）期满后10日内付清，不计息</w:t>
      </w:r>
      <w:r>
        <w:rPr>
          <w:rFonts w:hint="eastAsia" w:ascii="宋体" w:hAnsi="宋体" w:cs="宋体"/>
          <w:sz w:val="24"/>
          <w:szCs w:val="24"/>
          <w:highlight w:val="none"/>
          <w:lang w:eastAsia="zh-CN"/>
        </w:rPr>
        <w:t>。</w:t>
      </w:r>
    </w:p>
    <w:p w14:paraId="6D837F9F">
      <w:pPr>
        <w:keepNext w:val="0"/>
        <w:keepLines w:val="0"/>
        <w:pageBreakBefore w:val="0"/>
        <w:widowControl w:val="0"/>
        <w:kinsoku/>
        <w:wordWrap/>
        <w:overflowPunct/>
        <w:topLinePunct w:val="0"/>
        <w:autoSpaceDE/>
        <w:autoSpaceDN/>
        <w:bidi w:val="0"/>
        <w:adjustRightInd/>
        <w:snapToGrid/>
        <w:spacing w:before="157" w:beforeLines="50" w:line="400" w:lineRule="exact"/>
        <w:ind w:firstLine="482" w:firstLineChars="200"/>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2</w:t>
      </w:r>
      <w:r>
        <w:rPr>
          <w:rFonts w:hint="eastAsia" w:ascii="宋体" w:hAnsi="宋体" w:cs="宋体"/>
          <w:b/>
          <w:bCs/>
          <w:sz w:val="24"/>
          <w:szCs w:val="24"/>
          <w:highlight w:val="none"/>
          <w:lang w:val="en-US" w:eastAsia="zh-CN"/>
        </w:rPr>
        <w:t>7</w:t>
      </w:r>
      <w:r>
        <w:rPr>
          <w:rFonts w:hint="eastAsia" w:ascii="宋体" w:hAnsi="宋体" w:eastAsia="宋体" w:cs="宋体"/>
          <w:b/>
          <w:bCs/>
          <w:sz w:val="24"/>
          <w:szCs w:val="24"/>
          <w:highlight w:val="none"/>
          <w:lang w:val="en-US" w:eastAsia="zh-CN"/>
        </w:rPr>
        <w:t>.</w:t>
      </w:r>
      <w:r>
        <w:rPr>
          <w:rFonts w:hint="eastAsia" w:ascii="宋体" w:hAnsi="宋体" w:eastAsia="宋体" w:cs="宋体"/>
          <w:b/>
          <w:bCs/>
          <w:sz w:val="24"/>
          <w:szCs w:val="24"/>
          <w:highlight w:val="none"/>
        </w:rPr>
        <w:t>合同争议的解决方式</w:t>
      </w:r>
    </w:p>
    <w:p w14:paraId="2C36E2D4">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合同在履行过程中如果发生争议，先由双方协商解决，协商不成时，任何一方均可向买方所在地有</w:t>
      </w:r>
      <w:r>
        <w:rPr>
          <w:rFonts w:hint="eastAsia" w:ascii="宋体" w:hAnsi="宋体" w:cs="宋体"/>
          <w:sz w:val="24"/>
          <w:szCs w:val="24"/>
          <w:highlight w:val="none"/>
          <w:lang w:val="en-US" w:eastAsia="zh-CN"/>
        </w:rPr>
        <w:t>南通市通州区</w:t>
      </w:r>
      <w:r>
        <w:rPr>
          <w:rFonts w:hint="eastAsia" w:ascii="宋体" w:hAnsi="宋体" w:eastAsia="宋体" w:cs="宋体"/>
          <w:sz w:val="24"/>
          <w:szCs w:val="24"/>
          <w:highlight w:val="none"/>
        </w:rPr>
        <w:t>人民法院起诉。</w:t>
      </w:r>
    </w:p>
    <w:p w14:paraId="3DB1EAAD">
      <w:pPr>
        <w:keepNext w:val="0"/>
        <w:keepLines w:val="0"/>
        <w:pageBreakBefore w:val="0"/>
        <w:widowControl w:val="0"/>
        <w:kinsoku/>
        <w:wordWrap/>
        <w:overflowPunct/>
        <w:topLinePunct w:val="0"/>
        <w:autoSpaceDE/>
        <w:autoSpaceDN/>
        <w:bidi w:val="0"/>
        <w:adjustRightInd/>
        <w:snapToGrid/>
        <w:spacing w:before="157" w:beforeLines="50" w:line="400" w:lineRule="exact"/>
        <w:ind w:firstLine="482" w:firstLineChars="200"/>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2</w:t>
      </w:r>
      <w:r>
        <w:rPr>
          <w:rFonts w:hint="eastAsia" w:ascii="宋体" w:hAnsi="宋体" w:cs="宋体"/>
          <w:b/>
          <w:bCs/>
          <w:sz w:val="24"/>
          <w:szCs w:val="24"/>
          <w:highlight w:val="none"/>
          <w:lang w:val="en-US" w:eastAsia="zh-CN"/>
        </w:rPr>
        <w:t>8</w:t>
      </w:r>
      <w:r>
        <w:rPr>
          <w:rFonts w:hint="eastAsia" w:ascii="宋体" w:hAnsi="宋体" w:eastAsia="宋体" w:cs="宋体"/>
          <w:b/>
          <w:bCs/>
          <w:sz w:val="24"/>
          <w:szCs w:val="24"/>
          <w:highlight w:val="none"/>
          <w:lang w:val="en-US" w:eastAsia="zh-CN"/>
        </w:rPr>
        <w:t>.</w:t>
      </w:r>
      <w:r>
        <w:rPr>
          <w:rFonts w:hint="eastAsia" w:ascii="宋体" w:hAnsi="宋体" w:eastAsia="宋体" w:cs="宋体"/>
          <w:b/>
          <w:bCs/>
          <w:sz w:val="24"/>
          <w:szCs w:val="24"/>
          <w:highlight w:val="none"/>
        </w:rPr>
        <w:t>违约终止合同</w:t>
      </w:r>
    </w:p>
    <w:p w14:paraId="56C9B4A7">
      <w:pPr>
        <w:pageBreakBefore w:val="0"/>
        <w:kinsoku/>
        <w:wordWrap/>
        <w:topLinePunct w:val="0"/>
        <w:bidi w:val="0"/>
        <w:spacing w:line="400" w:lineRule="exact"/>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2</w:t>
      </w:r>
      <w:r>
        <w:rPr>
          <w:rFonts w:hint="eastAsia" w:ascii="宋体" w:hAnsi="宋体" w:cs="宋体"/>
          <w:sz w:val="24"/>
          <w:szCs w:val="24"/>
          <w:highlight w:val="none"/>
          <w:lang w:val="en-US" w:eastAsia="zh-CN"/>
        </w:rPr>
        <w:t>8</w:t>
      </w:r>
      <w:r>
        <w:rPr>
          <w:rFonts w:hint="eastAsia" w:ascii="宋体" w:hAnsi="宋体" w:eastAsia="宋体" w:cs="宋体"/>
          <w:sz w:val="24"/>
          <w:szCs w:val="24"/>
          <w:highlight w:val="none"/>
        </w:rPr>
        <w:t>.1 在买方对卖方违约而采取的任何补救措施不受影响的情况下，买方可在下列情况下向卖方发出书面通知书，提出终止部分或全部合同</w:t>
      </w:r>
      <w:r>
        <w:rPr>
          <w:rFonts w:hint="eastAsia" w:ascii="宋体" w:hAnsi="宋体" w:eastAsia="宋体" w:cs="宋体"/>
          <w:sz w:val="24"/>
          <w:szCs w:val="24"/>
          <w:highlight w:val="none"/>
          <w:lang w:eastAsia="zh-CN"/>
        </w:rPr>
        <w:t>；</w:t>
      </w:r>
    </w:p>
    <w:p w14:paraId="148AFC2C">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w:t>
      </w:r>
      <w:r>
        <w:rPr>
          <w:rFonts w:hint="eastAsia" w:ascii="宋体" w:hAnsi="宋体" w:cs="宋体"/>
          <w:sz w:val="24"/>
          <w:szCs w:val="24"/>
          <w:highlight w:val="none"/>
          <w:lang w:val="en-US" w:eastAsia="zh-CN"/>
        </w:rPr>
        <w:t>8</w:t>
      </w:r>
      <w:r>
        <w:rPr>
          <w:rFonts w:hint="eastAsia" w:ascii="宋体" w:hAnsi="宋体" w:eastAsia="宋体" w:cs="宋体"/>
          <w:sz w:val="24"/>
          <w:szCs w:val="24"/>
          <w:highlight w:val="none"/>
        </w:rPr>
        <w:t>.1.1 卖方未能在合同规定的限期或买方同意延长的限期内提供部分或全部货物；</w:t>
      </w:r>
    </w:p>
    <w:p w14:paraId="6B373963">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w:t>
      </w:r>
      <w:r>
        <w:rPr>
          <w:rFonts w:hint="eastAsia" w:ascii="宋体" w:hAnsi="宋体" w:cs="宋体"/>
          <w:sz w:val="24"/>
          <w:szCs w:val="24"/>
          <w:highlight w:val="none"/>
          <w:lang w:val="en-US" w:eastAsia="zh-CN"/>
        </w:rPr>
        <w:t>8</w:t>
      </w:r>
      <w:r>
        <w:rPr>
          <w:rFonts w:hint="eastAsia" w:ascii="宋体" w:hAnsi="宋体" w:eastAsia="宋体" w:cs="宋体"/>
          <w:sz w:val="24"/>
          <w:szCs w:val="24"/>
          <w:highlight w:val="none"/>
        </w:rPr>
        <w:t>.1.2 卖方未能履行合同规定的其他任何义务。</w:t>
      </w:r>
    </w:p>
    <w:p w14:paraId="3D504F6B">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w:t>
      </w:r>
      <w:r>
        <w:rPr>
          <w:rFonts w:hint="eastAsia" w:ascii="宋体" w:hAnsi="宋体" w:cs="宋体"/>
          <w:sz w:val="24"/>
          <w:szCs w:val="24"/>
          <w:highlight w:val="none"/>
          <w:lang w:val="en-US" w:eastAsia="zh-CN"/>
        </w:rPr>
        <w:t>8</w:t>
      </w:r>
      <w:r>
        <w:rPr>
          <w:rFonts w:hint="eastAsia" w:ascii="宋体" w:hAnsi="宋体" w:eastAsia="宋体" w:cs="宋体"/>
          <w:sz w:val="24"/>
          <w:szCs w:val="24"/>
          <w:highlight w:val="none"/>
        </w:rPr>
        <w:t>.2 如果买方根据上述第28.1 条的规定，终止了部分或全部合同，买方可以依其认为适当的条件和方法购买与未交货物相类似的货物，卖方应对购买类似货物所超出的那部分费用负责。同时，卖方仍应继续执行合同中未终止的部分。</w:t>
      </w:r>
    </w:p>
    <w:p w14:paraId="2362A418">
      <w:pPr>
        <w:keepNext w:val="0"/>
        <w:keepLines w:val="0"/>
        <w:pageBreakBefore w:val="0"/>
        <w:widowControl w:val="0"/>
        <w:kinsoku/>
        <w:wordWrap/>
        <w:overflowPunct/>
        <w:topLinePunct w:val="0"/>
        <w:autoSpaceDE/>
        <w:autoSpaceDN/>
        <w:bidi w:val="0"/>
        <w:adjustRightInd/>
        <w:snapToGrid/>
        <w:spacing w:before="157" w:beforeLines="50" w:line="400" w:lineRule="exact"/>
        <w:ind w:firstLine="482" w:firstLineChars="200"/>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2</w:t>
      </w:r>
      <w:r>
        <w:rPr>
          <w:rFonts w:hint="eastAsia" w:ascii="宋体" w:hAnsi="宋体" w:cs="宋体"/>
          <w:b/>
          <w:bCs/>
          <w:sz w:val="24"/>
          <w:szCs w:val="24"/>
          <w:highlight w:val="none"/>
          <w:lang w:val="en-US" w:eastAsia="zh-CN"/>
        </w:rPr>
        <w:t>9</w:t>
      </w:r>
      <w:r>
        <w:rPr>
          <w:rFonts w:hint="eastAsia" w:ascii="宋体" w:hAnsi="宋体" w:eastAsia="宋体" w:cs="宋体"/>
          <w:b/>
          <w:bCs/>
          <w:sz w:val="24"/>
          <w:szCs w:val="24"/>
          <w:highlight w:val="none"/>
          <w:lang w:val="en-US" w:eastAsia="zh-CN"/>
        </w:rPr>
        <w:t>.</w:t>
      </w:r>
      <w:r>
        <w:rPr>
          <w:rFonts w:hint="eastAsia" w:ascii="宋体" w:hAnsi="宋体" w:eastAsia="宋体" w:cs="宋体"/>
          <w:b/>
          <w:bCs/>
          <w:sz w:val="24"/>
          <w:szCs w:val="24"/>
          <w:highlight w:val="none"/>
        </w:rPr>
        <w:t>破产终止合同</w:t>
      </w:r>
    </w:p>
    <w:p w14:paraId="590D23C7">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如果卖方破产或丧失清偿能力，买方可在任何时候以书面形式通知卖方终止合同而不给卖方补偿。该终止合同的行为将不损害或影响买方在本合同项下已经或将要采取的任何其他行动或补救措施的权力。</w:t>
      </w:r>
    </w:p>
    <w:p w14:paraId="4A642001">
      <w:pPr>
        <w:pageBreakBefore w:val="0"/>
        <w:kinsoku/>
        <w:wordWrap/>
        <w:topLinePunct w:val="0"/>
        <w:bidi w:val="0"/>
        <w:spacing w:line="400" w:lineRule="exact"/>
        <w:ind w:firstLine="482" w:firstLineChars="200"/>
        <w:rPr>
          <w:rFonts w:hint="eastAsia" w:ascii="宋体" w:hAnsi="宋体" w:eastAsia="宋体" w:cs="宋体"/>
          <w:b/>
          <w:bCs/>
          <w:sz w:val="24"/>
          <w:szCs w:val="24"/>
          <w:highlight w:val="none"/>
        </w:rPr>
      </w:pPr>
      <w:r>
        <w:rPr>
          <w:rFonts w:hint="eastAsia" w:ascii="宋体" w:hAnsi="宋体" w:cs="宋体"/>
          <w:b/>
          <w:bCs/>
          <w:sz w:val="24"/>
          <w:szCs w:val="24"/>
          <w:highlight w:val="none"/>
          <w:lang w:val="en-US" w:eastAsia="zh-CN"/>
        </w:rPr>
        <w:t>30</w:t>
      </w:r>
      <w:r>
        <w:rPr>
          <w:rFonts w:hint="eastAsia" w:ascii="宋体" w:hAnsi="宋体" w:eastAsia="宋体" w:cs="宋体"/>
          <w:b/>
          <w:bCs/>
          <w:sz w:val="24"/>
          <w:szCs w:val="24"/>
          <w:highlight w:val="none"/>
          <w:lang w:val="en-US" w:eastAsia="zh-CN"/>
        </w:rPr>
        <w:t>.</w:t>
      </w:r>
      <w:r>
        <w:rPr>
          <w:rFonts w:hint="eastAsia" w:ascii="宋体" w:hAnsi="宋体" w:eastAsia="宋体" w:cs="宋体"/>
          <w:b/>
          <w:bCs/>
          <w:sz w:val="24"/>
          <w:szCs w:val="24"/>
          <w:highlight w:val="none"/>
        </w:rPr>
        <w:t>便利终止合同</w:t>
      </w:r>
    </w:p>
    <w:p w14:paraId="7657707E">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30</w:t>
      </w:r>
      <w:r>
        <w:rPr>
          <w:rFonts w:hint="eastAsia" w:ascii="宋体" w:hAnsi="宋体" w:eastAsia="宋体" w:cs="宋体"/>
          <w:sz w:val="24"/>
          <w:szCs w:val="24"/>
          <w:highlight w:val="none"/>
        </w:rPr>
        <w:t>.1 买方可在任何时候出于自身的便利向卖方发出部分或全部终止合同的书面通知，该书面通知应明确终止合同是出于买方的便利，终止合同的书面通知到达卖方时生效。</w:t>
      </w:r>
    </w:p>
    <w:p w14:paraId="668E31F1">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30</w:t>
      </w:r>
      <w:r>
        <w:rPr>
          <w:rFonts w:hint="eastAsia" w:ascii="宋体" w:hAnsi="宋体" w:eastAsia="宋体" w:cs="宋体"/>
          <w:sz w:val="24"/>
          <w:szCs w:val="24"/>
          <w:highlight w:val="none"/>
        </w:rPr>
        <w:t>.2 对卖方在收到终止合同通知后28天内可完成并准备装运的货物，买方应按原合同价格的条款予以接收。对于剩下的货物，买方可按下列方法处置：</w:t>
      </w:r>
    </w:p>
    <w:p w14:paraId="5215FAED">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30</w:t>
      </w:r>
      <w:r>
        <w:rPr>
          <w:rFonts w:hint="eastAsia" w:ascii="宋体" w:hAnsi="宋体" w:eastAsia="宋体" w:cs="宋体"/>
          <w:sz w:val="24"/>
          <w:szCs w:val="24"/>
          <w:highlight w:val="none"/>
        </w:rPr>
        <w:t>.2.1 让任一部分按照原来的合同价格和条款完成装运和交货；</w:t>
      </w:r>
    </w:p>
    <w:p w14:paraId="424C309A">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30</w:t>
      </w:r>
      <w:r>
        <w:rPr>
          <w:rFonts w:hint="eastAsia" w:ascii="宋体" w:hAnsi="宋体" w:eastAsia="宋体" w:cs="宋体"/>
          <w:sz w:val="24"/>
          <w:szCs w:val="24"/>
          <w:highlight w:val="none"/>
        </w:rPr>
        <w:t>.2.2 取消该剩下货物的装运和交货，并按双方商定的金额向卖方支付部分已完成货物的制造和服务费用以及卖方此前为制造所订货物而已采购的材料和部件的费用。</w:t>
      </w:r>
    </w:p>
    <w:p w14:paraId="0FF1604A">
      <w:pPr>
        <w:keepNext w:val="0"/>
        <w:keepLines w:val="0"/>
        <w:pageBreakBefore w:val="0"/>
        <w:widowControl w:val="0"/>
        <w:kinsoku/>
        <w:wordWrap/>
        <w:overflowPunct/>
        <w:topLinePunct w:val="0"/>
        <w:autoSpaceDE/>
        <w:autoSpaceDN/>
        <w:bidi w:val="0"/>
        <w:adjustRightInd/>
        <w:snapToGrid/>
        <w:spacing w:before="157" w:beforeLines="50" w:line="400" w:lineRule="exact"/>
        <w:ind w:firstLine="482" w:firstLineChars="200"/>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3</w:t>
      </w:r>
      <w:r>
        <w:rPr>
          <w:rFonts w:hint="eastAsia" w:ascii="宋体" w:hAnsi="宋体" w:cs="宋体"/>
          <w:b/>
          <w:bCs/>
          <w:sz w:val="24"/>
          <w:szCs w:val="24"/>
          <w:highlight w:val="none"/>
          <w:lang w:val="en-US" w:eastAsia="zh-CN"/>
        </w:rPr>
        <w:t>1</w:t>
      </w:r>
      <w:r>
        <w:rPr>
          <w:rFonts w:hint="eastAsia" w:ascii="宋体" w:hAnsi="宋体" w:eastAsia="宋体" w:cs="宋体"/>
          <w:b/>
          <w:bCs/>
          <w:sz w:val="24"/>
          <w:szCs w:val="24"/>
          <w:highlight w:val="none"/>
          <w:lang w:val="en-US" w:eastAsia="zh-CN"/>
        </w:rPr>
        <w:t>.</w:t>
      </w:r>
      <w:r>
        <w:rPr>
          <w:rFonts w:hint="eastAsia" w:ascii="宋体" w:hAnsi="宋体" w:eastAsia="宋体" w:cs="宋体"/>
          <w:b/>
          <w:bCs/>
          <w:sz w:val="24"/>
          <w:szCs w:val="24"/>
          <w:highlight w:val="none"/>
        </w:rPr>
        <w:t>转让和分包</w:t>
      </w:r>
    </w:p>
    <w:p w14:paraId="5723ED09">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w:t>
      </w:r>
      <w:r>
        <w:rPr>
          <w:rFonts w:hint="eastAsia" w:ascii="宋体" w:hAnsi="宋体" w:cs="宋体"/>
          <w:sz w:val="24"/>
          <w:szCs w:val="24"/>
          <w:highlight w:val="none"/>
          <w:lang w:val="en-US" w:eastAsia="zh-CN"/>
        </w:rPr>
        <w:t>1</w:t>
      </w:r>
      <w:r>
        <w:rPr>
          <w:rFonts w:hint="eastAsia" w:ascii="宋体" w:hAnsi="宋体" w:eastAsia="宋体" w:cs="宋体"/>
          <w:sz w:val="24"/>
          <w:szCs w:val="24"/>
          <w:highlight w:val="none"/>
        </w:rPr>
        <w:t>.1 除买方事先书面同意外，卖方不得部分或全部转让其应履行的合同义务。</w:t>
      </w:r>
    </w:p>
    <w:p w14:paraId="13AFD4B7">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w:t>
      </w:r>
      <w:r>
        <w:rPr>
          <w:rFonts w:hint="eastAsia" w:ascii="宋体" w:hAnsi="宋体" w:cs="宋体"/>
          <w:sz w:val="24"/>
          <w:szCs w:val="24"/>
          <w:highlight w:val="none"/>
          <w:lang w:val="en-US" w:eastAsia="zh-CN"/>
        </w:rPr>
        <w:t>1</w:t>
      </w:r>
      <w:r>
        <w:rPr>
          <w:rFonts w:hint="eastAsia" w:ascii="宋体" w:hAnsi="宋体" w:eastAsia="宋体" w:cs="宋体"/>
          <w:sz w:val="24"/>
          <w:szCs w:val="24"/>
          <w:highlight w:val="none"/>
        </w:rPr>
        <w:t>.2 如投标文件中没有明确分包合同，在本合同签约前，卖方应书面通知买方其在本合同中所分包的全部分包合同，无论是原投标文件中的还是后续通知的分包合同均不能解除卖方履行本合同的责任和义务。</w:t>
      </w:r>
    </w:p>
    <w:p w14:paraId="2A73E49A">
      <w:pPr>
        <w:keepNext w:val="0"/>
        <w:keepLines w:val="0"/>
        <w:pageBreakBefore w:val="0"/>
        <w:widowControl w:val="0"/>
        <w:kinsoku/>
        <w:wordWrap/>
        <w:overflowPunct/>
        <w:topLinePunct w:val="0"/>
        <w:autoSpaceDE/>
        <w:autoSpaceDN/>
        <w:bidi w:val="0"/>
        <w:adjustRightInd/>
        <w:snapToGrid/>
        <w:spacing w:before="157" w:beforeLines="50" w:line="400" w:lineRule="exact"/>
        <w:ind w:firstLine="482" w:firstLineChars="200"/>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3</w:t>
      </w:r>
      <w:r>
        <w:rPr>
          <w:rFonts w:hint="eastAsia" w:ascii="宋体" w:hAnsi="宋体" w:cs="宋体"/>
          <w:b/>
          <w:bCs/>
          <w:sz w:val="24"/>
          <w:szCs w:val="24"/>
          <w:highlight w:val="none"/>
          <w:lang w:val="en-US" w:eastAsia="zh-CN"/>
        </w:rPr>
        <w:t>2</w:t>
      </w:r>
      <w:r>
        <w:rPr>
          <w:rFonts w:hint="eastAsia" w:ascii="宋体" w:hAnsi="宋体" w:eastAsia="宋体" w:cs="宋体"/>
          <w:b/>
          <w:bCs/>
          <w:sz w:val="24"/>
          <w:szCs w:val="24"/>
          <w:highlight w:val="none"/>
          <w:lang w:val="en-US" w:eastAsia="zh-CN"/>
        </w:rPr>
        <w:t>.</w:t>
      </w:r>
      <w:r>
        <w:rPr>
          <w:rFonts w:hint="eastAsia" w:ascii="宋体" w:hAnsi="宋体" w:eastAsia="宋体" w:cs="宋体"/>
          <w:b/>
          <w:bCs/>
          <w:sz w:val="24"/>
          <w:szCs w:val="24"/>
          <w:highlight w:val="none"/>
        </w:rPr>
        <w:t>合同文件和资料的使用</w:t>
      </w:r>
    </w:p>
    <w:p w14:paraId="4F886C69">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w:t>
      </w:r>
      <w:r>
        <w:rPr>
          <w:rFonts w:hint="eastAsia" w:ascii="宋体" w:hAnsi="宋体" w:cs="宋体"/>
          <w:sz w:val="24"/>
          <w:szCs w:val="24"/>
          <w:highlight w:val="none"/>
          <w:lang w:val="en-US" w:eastAsia="zh-CN"/>
        </w:rPr>
        <w:t>2</w:t>
      </w:r>
      <w:r>
        <w:rPr>
          <w:rFonts w:hint="eastAsia" w:ascii="宋体" w:hAnsi="宋体" w:eastAsia="宋体" w:cs="宋体"/>
          <w:sz w:val="24"/>
          <w:szCs w:val="24"/>
          <w:highlight w:val="none"/>
        </w:rPr>
        <w:t>.1 未经买方事先书面同意，卖方不得将由买方提供的有关合同、合同条文、规格、计划、图样、模型、样品或资料提供给与履行本合同无关的任何其他人。即使向本合同的雇员提供，也应注意保密并限于履行本合同所必需的范围。</w:t>
      </w:r>
    </w:p>
    <w:p w14:paraId="3025D688">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w:t>
      </w:r>
      <w:r>
        <w:rPr>
          <w:rFonts w:hint="eastAsia" w:ascii="宋体" w:hAnsi="宋体" w:cs="宋体"/>
          <w:sz w:val="24"/>
          <w:szCs w:val="24"/>
          <w:highlight w:val="none"/>
          <w:lang w:val="en-US" w:eastAsia="zh-CN"/>
        </w:rPr>
        <w:t>2</w:t>
      </w:r>
      <w:r>
        <w:rPr>
          <w:rFonts w:hint="eastAsia" w:ascii="宋体" w:hAnsi="宋体" w:eastAsia="宋体" w:cs="宋体"/>
          <w:sz w:val="24"/>
          <w:szCs w:val="24"/>
          <w:highlight w:val="none"/>
        </w:rPr>
        <w:t>.2 未经买方事先书面同意，除履行本合同之外，卖方不应使用“合同条款”第32.1条所列举的任何文件和资料。</w:t>
      </w:r>
    </w:p>
    <w:p w14:paraId="15285218">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w:t>
      </w:r>
      <w:r>
        <w:rPr>
          <w:rFonts w:hint="eastAsia" w:ascii="宋体" w:hAnsi="宋体" w:cs="宋体"/>
          <w:sz w:val="24"/>
          <w:szCs w:val="24"/>
          <w:highlight w:val="none"/>
          <w:lang w:val="en-US" w:eastAsia="zh-CN"/>
        </w:rPr>
        <w:t>2</w:t>
      </w:r>
      <w:r>
        <w:rPr>
          <w:rFonts w:hint="eastAsia" w:ascii="宋体" w:hAnsi="宋体" w:eastAsia="宋体" w:cs="宋体"/>
          <w:sz w:val="24"/>
          <w:szCs w:val="24"/>
          <w:highlight w:val="none"/>
        </w:rPr>
        <w:t>.3 除合同本身外，“合同条款”第32.1条所列举的任何文件和资料是买方的财产。如果买方有要求，卖方应在完成合同后将这些文件和资料(包括全部副本)还给买方。</w:t>
      </w:r>
    </w:p>
    <w:p w14:paraId="6A3CAFCB">
      <w:pPr>
        <w:keepNext w:val="0"/>
        <w:keepLines w:val="0"/>
        <w:pageBreakBefore w:val="0"/>
        <w:widowControl w:val="0"/>
        <w:kinsoku/>
        <w:wordWrap/>
        <w:overflowPunct/>
        <w:topLinePunct w:val="0"/>
        <w:autoSpaceDE/>
        <w:autoSpaceDN/>
        <w:bidi w:val="0"/>
        <w:adjustRightInd/>
        <w:snapToGrid/>
        <w:spacing w:before="157" w:beforeLines="50" w:line="400" w:lineRule="exact"/>
        <w:ind w:firstLine="482" w:firstLineChars="200"/>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3</w:t>
      </w:r>
      <w:r>
        <w:rPr>
          <w:rFonts w:hint="eastAsia" w:ascii="宋体" w:hAnsi="宋体" w:cs="宋体"/>
          <w:b/>
          <w:bCs/>
          <w:sz w:val="24"/>
          <w:szCs w:val="24"/>
          <w:highlight w:val="none"/>
          <w:lang w:val="en-US" w:eastAsia="zh-CN"/>
        </w:rPr>
        <w:t>3</w:t>
      </w:r>
      <w:r>
        <w:rPr>
          <w:rFonts w:hint="eastAsia" w:ascii="宋体" w:hAnsi="宋体" w:eastAsia="宋体" w:cs="宋体"/>
          <w:b/>
          <w:bCs/>
          <w:sz w:val="24"/>
          <w:szCs w:val="24"/>
          <w:highlight w:val="none"/>
          <w:lang w:val="en-US" w:eastAsia="zh-CN"/>
        </w:rPr>
        <w:t>.</w:t>
      </w:r>
      <w:r>
        <w:rPr>
          <w:rFonts w:hint="eastAsia" w:ascii="宋体" w:hAnsi="宋体" w:eastAsia="宋体" w:cs="宋体"/>
          <w:b/>
          <w:bCs/>
          <w:sz w:val="24"/>
          <w:szCs w:val="24"/>
          <w:highlight w:val="none"/>
        </w:rPr>
        <w:t>合同生效</w:t>
      </w:r>
    </w:p>
    <w:p w14:paraId="7FDC60F8">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本合同在满足下列所有条件时即生效：</w:t>
      </w:r>
    </w:p>
    <w:p w14:paraId="713A3735">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w:t>
      </w:r>
      <w:r>
        <w:rPr>
          <w:rFonts w:hint="eastAsia" w:ascii="宋体" w:hAnsi="宋体" w:cs="宋体"/>
          <w:sz w:val="24"/>
          <w:szCs w:val="24"/>
          <w:highlight w:val="none"/>
          <w:lang w:val="en-US" w:eastAsia="zh-CN"/>
        </w:rPr>
        <w:t>3</w:t>
      </w:r>
      <w:r>
        <w:rPr>
          <w:rFonts w:hint="eastAsia" w:ascii="宋体" w:hAnsi="宋体" w:eastAsia="宋体" w:cs="宋体"/>
          <w:sz w:val="24"/>
          <w:szCs w:val="24"/>
          <w:highlight w:val="none"/>
        </w:rPr>
        <w:t>.1 合同已由双方的法定代表人或其授权代表签署并加盖了单位印章；</w:t>
      </w:r>
    </w:p>
    <w:p w14:paraId="177BAB09">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w:t>
      </w:r>
      <w:r>
        <w:rPr>
          <w:rFonts w:hint="eastAsia" w:ascii="宋体" w:hAnsi="宋体" w:cs="宋体"/>
          <w:sz w:val="24"/>
          <w:szCs w:val="24"/>
          <w:highlight w:val="none"/>
          <w:lang w:val="en-US" w:eastAsia="zh-CN"/>
        </w:rPr>
        <w:t>3</w:t>
      </w:r>
      <w:r>
        <w:rPr>
          <w:rFonts w:hint="eastAsia" w:ascii="宋体" w:hAnsi="宋体" w:eastAsia="宋体" w:cs="宋体"/>
          <w:sz w:val="24"/>
          <w:szCs w:val="24"/>
          <w:highlight w:val="none"/>
        </w:rPr>
        <w:t>.2 卖方已按规定递交了履约保证金。</w:t>
      </w:r>
    </w:p>
    <w:p w14:paraId="4D35F10A">
      <w:pPr>
        <w:keepNext w:val="0"/>
        <w:keepLines w:val="0"/>
        <w:pageBreakBefore w:val="0"/>
        <w:widowControl w:val="0"/>
        <w:kinsoku/>
        <w:wordWrap/>
        <w:overflowPunct/>
        <w:topLinePunct w:val="0"/>
        <w:autoSpaceDE/>
        <w:autoSpaceDN/>
        <w:bidi w:val="0"/>
        <w:adjustRightInd/>
        <w:snapToGrid/>
        <w:spacing w:before="157" w:beforeLines="50" w:line="400" w:lineRule="exact"/>
        <w:ind w:firstLine="482" w:firstLineChars="200"/>
        <w:textAlignment w:val="auto"/>
        <w:rPr>
          <w:rFonts w:hint="default" w:ascii="宋体" w:hAnsi="宋体" w:eastAsia="宋体" w:cs="宋体"/>
          <w:b/>
          <w:bCs/>
          <w:sz w:val="24"/>
          <w:szCs w:val="24"/>
          <w:highlight w:val="none"/>
          <w:lang w:val="en-US" w:eastAsia="zh-CN"/>
        </w:rPr>
      </w:pPr>
      <w:r>
        <w:rPr>
          <w:rFonts w:hint="eastAsia" w:ascii="宋体" w:hAnsi="宋体" w:eastAsia="宋体" w:cs="宋体"/>
          <w:b/>
          <w:bCs/>
          <w:sz w:val="24"/>
          <w:szCs w:val="24"/>
          <w:highlight w:val="none"/>
        </w:rPr>
        <w:t>3</w:t>
      </w:r>
      <w:r>
        <w:rPr>
          <w:rFonts w:hint="eastAsia" w:ascii="宋体" w:hAnsi="宋体" w:cs="宋体"/>
          <w:b/>
          <w:bCs/>
          <w:sz w:val="24"/>
          <w:szCs w:val="24"/>
          <w:highlight w:val="none"/>
          <w:lang w:val="en-US" w:eastAsia="zh-CN"/>
        </w:rPr>
        <w:t>4</w:t>
      </w:r>
      <w:r>
        <w:rPr>
          <w:rFonts w:hint="eastAsia" w:ascii="宋体" w:hAnsi="宋体" w:eastAsia="宋体" w:cs="宋体"/>
          <w:b/>
          <w:bCs/>
          <w:sz w:val="24"/>
          <w:szCs w:val="24"/>
          <w:highlight w:val="none"/>
          <w:lang w:val="en-US" w:eastAsia="zh-CN"/>
        </w:rPr>
        <w:t>.</w:t>
      </w:r>
      <w:r>
        <w:rPr>
          <w:rFonts w:hint="eastAsia" w:ascii="宋体" w:hAnsi="宋体" w:cs="宋体"/>
          <w:b/>
          <w:bCs/>
          <w:sz w:val="24"/>
          <w:szCs w:val="24"/>
          <w:highlight w:val="none"/>
          <w:lang w:val="en-US" w:eastAsia="zh-CN"/>
        </w:rPr>
        <w:t>其它</w:t>
      </w:r>
    </w:p>
    <w:p w14:paraId="6D184247">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w:t>
      </w:r>
      <w:r>
        <w:rPr>
          <w:rFonts w:hint="eastAsia" w:ascii="宋体" w:hAnsi="宋体" w:cs="宋体"/>
          <w:sz w:val="24"/>
          <w:szCs w:val="24"/>
          <w:highlight w:val="none"/>
          <w:lang w:val="en-US" w:eastAsia="zh-CN"/>
        </w:rPr>
        <w:t>4</w:t>
      </w:r>
      <w:r>
        <w:rPr>
          <w:rFonts w:hint="eastAsia" w:ascii="宋体" w:hAnsi="宋体" w:eastAsia="宋体" w:cs="宋体"/>
          <w:sz w:val="24"/>
          <w:szCs w:val="24"/>
          <w:highlight w:val="none"/>
        </w:rPr>
        <w:t>.1 卖方应履行投标文件中明确的项目技术服务和售后维修人员的承诺提供安装调试和维修服务，卖方的售后服务响应时间为：在免费质保期内，卖方在接到用户单位报修通知后，须在4小时之内响应，并在24小时内到达现场。如需更换设备或返厂维修，须在24小时内提供备用设备，保证系统正常运行。更换或返厂维修的设备须在7日内处理完毕、送至现场，并恢复系统功能。</w:t>
      </w:r>
    </w:p>
    <w:p w14:paraId="57F3921C">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w:t>
      </w:r>
      <w:r>
        <w:rPr>
          <w:rFonts w:hint="eastAsia" w:ascii="宋体" w:hAnsi="宋体" w:cs="宋体"/>
          <w:sz w:val="24"/>
          <w:szCs w:val="24"/>
          <w:highlight w:val="none"/>
          <w:lang w:val="en-US" w:eastAsia="zh-CN"/>
        </w:rPr>
        <w:t>4</w:t>
      </w:r>
      <w:r>
        <w:rPr>
          <w:rFonts w:hint="eastAsia" w:ascii="宋体" w:hAnsi="宋体" w:eastAsia="宋体" w:cs="宋体"/>
          <w:sz w:val="24"/>
          <w:szCs w:val="24"/>
          <w:highlight w:val="none"/>
        </w:rPr>
        <w:t>.2 卖方应按投标文件的承诺向买方提供人员培训服务。</w:t>
      </w:r>
    </w:p>
    <w:p w14:paraId="11C32E78">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w:t>
      </w:r>
      <w:r>
        <w:rPr>
          <w:rFonts w:hint="eastAsia" w:ascii="宋体" w:hAnsi="宋体" w:cs="宋体"/>
          <w:sz w:val="24"/>
          <w:szCs w:val="24"/>
          <w:highlight w:val="none"/>
          <w:lang w:val="en-US" w:eastAsia="zh-CN"/>
        </w:rPr>
        <w:t>4</w:t>
      </w:r>
      <w:r>
        <w:rPr>
          <w:rFonts w:hint="eastAsia" w:ascii="宋体" w:hAnsi="宋体" w:eastAsia="宋体" w:cs="宋体"/>
          <w:sz w:val="24"/>
          <w:szCs w:val="24"/>
          <w:highlight w:val="none"/>
        </w:rPr>
        <w:t>.3 本合同条款，中标通知书，投标过程中的澄清、补漏记录，招标文件，投标文件，相关国家标准、规范均为合同文件的组成部分，且按上列顺序进行解释。</w:t>
      </w:r>
    </w:p>
    <w:p w14:paraId="204F92DB">
      <w:pPr>
        <w:spacing w:line="420" w:lineRule="exact"/>
        <w:ind w:firstLine="480" w:firstLineChars="200"/>
        <w:rPr>
          <w:rFonts w:hint="eastAsia" w:ascii="宋体" w:hAnsi="宋体" w:cs="宋体"/>
          <w:sz w:val="24"/>
          <w:szCs w:val="24"/>
        </w:rPr>
      </w:pPr>
      <w:r>
        <w:rPr>
          <w:rFonts w:hint="eastAsia" w:ascii="宋体" w:hAnsi="宋体" w:cs="宋体"/>
          <w:sz w:val="24"/>
          <w:szCs w:val="24"/>
          <w:lang w:val="en-US" w:eastAsia="zh-CN"/>
        </w:rPr>
        <w:t>34.4</w:t>
      </w:r>
      <w:r>
        <w:rPr>
          <w:rFonts w:hint="eastAsia" w:ascii="宋体" w:hAnsi="宋体" w:cs="宋体"/>
          <w:sz w:val="24"/>
          <w:szCs w:val="24"/>
        </w:rPr>
        <w:t xml:space="preserve"> 本合同未尽部分，按照招标文件及投标书执行</w:t>
      </w:r>
    </w:p>
    <w:p w14:paraId="7A5E6030">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w:t>
      </w:r>
      <w:r>
        <w:rPr>
          <w:rFonts w:hint="eastAsia" w:ascii="宋体" w:hAnsi="宋体" w:cs="宋体"/>
          <w:sz w:val="24"/>
          <w:szCs w:val="24"/>
          <w:highlight w:val="none"/>
          <w:lang w:val="en-US" w:eastAsia="zh-CN"/>
        </w:rPr>
        <w:t>4.5</w:t>
      </w:r>
      <w:r>
        <w:rPr>
          <w:rFonts w:hint="eastAsia" w:ascii="宋体" w:hAnsi="宋体" w:eastAsia="宋体" w:cs="宋体"/>
          <w:sz w:val="24"/>
          <w:szCs w:val="24"/>
          <w:highlight w:val="none"/>
        </w:rPr>
        <w:t xml:space="preserve"> 本合同一式肆份，双方各执贰份。 </w:t>
      </w:r>
    </w:p>
    <w:p w14:paraId="01C38B35">
      <w:pPr>
        <w:pageBreakBefore w:val="0"/>
        <w:kinsoku/>
        <w:wordWrap/>
        <w:topLinePunct w:val="0"/>
        <w:bidi w:val="0"/>
        <w:spacing w:line="400" w:lineRule="exact"/>
        <w:ind w:left="630"/>
        <w:jc w:val="center"/>
        <w:rPr>
          <w:rFonts w:hint="eastAsia" w:ascii="宋体" w:hAnsi="宋体" w:eastAsia="宋体" w:cs="宋体"/>
          <w:b/>
          <w:sz w:val="24"/>
          <w:szCs w:val="24"/>
          <w:highlight w:val="none"/>
        </w:rPr>
      </w:pPr>
    </w:p>
    <w:p w14:paraId="3DB7A47A">
      <w:pPr>
        <w:pageBreakBefore w:val="0"/>
        <w:kinsoku/>
        <w:wordWrap/>
        <w:topLinePunct w:val="0"/>
        <w:bidi w:val="0"/>
        <w:spacing w:line="400" w:lineRule="exact"/>
        <w:ind w:left="629"/>
        <w:rPr>
          <w:rFonts w:hint="eastAsia" w:ascii="宋体" w:hAnsi="宋体" w:eastAsia="宋体" w:cs="宋体"/>
          <w:sz w:val="24"/>
          <w:szCs w:val="24"/>
          <w:highlight w:val="none"/>
        </w:rPr>
      </w:pPr>
    </w:p>
    <w:p w14:paraId="0742C172">
      <w:pPr>
        <w:spacing w:line="480" w:lineRule="auto"/>
        <w:rPr>
          <w:rFonts w:hint="eastAsia" w:ascii="Calibri" w:hAnsi="Calibri"/>
          <w:sz w:val="24"/>
          <w:szCs w:val="24"/>
          <w:lang w:val="en-US" w:eastAsia="zh-CN"/>
        </w:rPr>
      </w:pPr>
      <w:r>
        <w:rPr>
          <w:rFonts w:hint="eastAsia" w:ascii="Calibri" w:hAnsi="Calibri"/>
          <w:sz w:val="24"/>
          <w:szCs w:val="24"/>
          <w:lang w:val="en-US" w:eastAsia="zh-CN"/>
        </w:rPr>
        <w:t>甲方单位：（盖章）                        乙方单位：（盖章）</w:t>
      </w:r>
    </w:p>
    <w:p w14:paraId="29AFEF80">
      <w:pPr>
        <w:spacing w:line="480" w:lineRule="auto"/>
        <w:rPr>
          <w:rFonts w:hint="default" w:ascii="Calibri" w:hAnsi="Calibri"/>
          <w:sz w:val="24"/>
          <w:szCs w:val="24"/>
          <w:lang w:val="en-US" w:eastAsia="zh-CN"/>
        </w:rPr>
      </w:pPr>
      <w:r>
        <w:rPr>
          <w:rFonts w:hint="eastAsia" w:ascii="Calibri" w:hAnsi="Calibri"/>
          <w:sz w:val="24"/>
          <w:szCs w:val="24"/>
          <w:lang w:val="en-US" w:eastAsia="zh-CN"/>
        </w:rPr>
        <w:t>地址：                                    地址：</w:t>
      </w:r>
    </w:p>
    <w:p w14:paraId="41C61D8B">
      <w:pPr>
        <w:spacing w:line="480" w:lineRule="auto"/>
        <w:rPr>
          <w:rFonts w:hint="eastAsia" w:ascii="Calibri" w:hAnsi="Calibri"/>
          <w:sz w:val="24"/>
          <w:szCs w:val="24"/>
          <w:lang w:val="en-US" w:eastAsia="zh-CN"/>
        </w:rPr>
      </w:pPr>
      <w:r>
        <w:rPr>
          <w:rFonts w:hint="eastAsia" w:ascii="Calibri" w:hAnsi="Calibri"/>
          <w:sz w:val="24"/>
          <w:szCs w:val="24"/>
          <w:lang w:val="en-US" w:eastAsia="zh-CN"/>
        </w:rPr>
        <w:t>法定代表人：                              法定代表人：</w:t>
      </w:r>
    </w:p>
    <w:p w14:paraId="473F5296">
      <w:pPr>
        <w:spacing w:line="480" w:lineRule="auto"/>
        <w:rPr>
          <w:rFonts w:hint="eastAsia" w:ascii="Calibri" w:hAnsi="Calibri"/>
          <w:sz w:val="24"/>
          <w:szCs w:val="24"/>
          <w:lang w:val="en-US" w:eastAsia="zh-CN"/>
        </w:rPr>
      </w:pPr>
      <w:r>
        <w:rPr>
          <w:rFonts w:hint="eastAsia" w:ascii="Calibri" w:hAnsi="Calibri"/>
          <w:sz w:val="24"/>
          <w:szCs w:val="24"/>
          <w:lang w:val="en-US" w:eastAsia="zh-CN"/>
        </w:rPr>
        <w:t>法定代表人身份证号：                      法定代表人身份证号：</w:t>
      </w:r>
    </w:p>
    <w:p w14:paraId="3843033D">
      <w:pPr>
        <w:spacing w:line="480" w:lineRule="auto"/>
        <w:rPr>
          <w:rFonts w:hint="default" w:ascii="Calibri" w:hAnsi="Calibri"/>
          <w:sz w:val="24"/>
          <w:szCs w:val="24"/>
          <w:lang w:val="en-US" w:eastAsia="zh-CN"/>
        </w:rPr>
      </w:pPr>
      <w:r>
        <w:rPr>
          <w:rFonts w:hint="eastAsia" w:ascii="Calibri" w:hAnsi="Calibri"/>
          <w:sz w:val="24"/>
          <w:szCs w:val="24"/>
          <w:lang w:val="en-US" w:eastAsia="zh-CN"/>
        </w:rPr>
        <w:t>委托代理人：                              委托代理人：</w:t>
      </w:r>
    </w:p>
    <w:p w14:paraId="1B536384">
      <w:pPr>
        <w:spacing w:line="480" w:lineRule="auto"/>
        <w:rPr>
          <w:rFonts w:hint="eastAsia" w:ascii="Calibri" w:hAnsi="Calibri"/>
          <w:sz w:val="24"/>
          <w:szCs w:val="24"/>
          <w:lang w:val="en-US" w:eastAsia="zh-CN"/>
        </w:rPr>
      </w:pPr>
      <w:r>
        <w:rPr>
          <w:rFonts w:hint="eastAsia" w:ascii="Calibri" w:hAnsi="Calibri"/>
          <w:sz w:val="24"/>
          <w:szCs w:val="24"/>
          <w:lang w:val="en-US" w:eastAsia="zh-CN"/>
        </w:rPr>
        <w:t>联系方式：                                联系方式：</w:t>
      </w:r>
    </w:p>
    <w:p w14:paraId="4D6FC93B">
      <w:pPr>
        <w:spacing w:line="480" w:lineRule="auto"/>
        <w:rPr>
          <w:rFonts w:hint="eastAsia" w:ascii="Calibri" w:hAnsi="Calibri"/>
          <w:sz w:val="24"/>
          <w:szCs w:val="24"/>
          <w:lang w:val="en-US" w:eastAsia="zh-CN"/>
        </w:rPr>
      </w:pPr>
      <w:r>
        <w:rPr>
          <w:rFonts w:hint="eastAsia" w:ascii="Calibri" w:hAnsi="Calibri"/>
          <w:sz w:val="24"/>
          <w:szCs w:val="24"/>
          <w:lang w:val="en-US" w:eastAsia="zh-CN"/>
        </w:rPr>
        <w:t>签订地点：</w:t>
      </w:r>
    </w:p>
    <w:p w14:paraId="2731CE3D">
      <w:pPr>
        <w:pageBreakBefore w:val="0"/>
        <w:kinsoku/>
        <w:wordWrap/>
        <w:topLinePunct w:val="0"/>
        <w:bidi w:val="0"/>
        <w:spacing w:line="400" w:lineRule="exact"/>
        <w:ind w:left="629"/>
        <w:rPr>
          <w:rFonts w:hint="eastAsia" w:ascii="宋体" w:hAnsi="宋体" w:eastAsia="宋体" w:cs="宋体"/>
          <w:sz w:val="24"/>
          <w:szCs w:val="24"/>
          <w:highlight w:val="none"/>
        </w:rPr>
      </w:pPr>
    </w:p>
    <w:p w14:paraId="2F8301F7">
      <w:pPr>
        <w:pageBreakBefore w:val="0"/>
        <w:kinsoku/>
        <w:wordWrap/>
        <w:topLinePunct w:val="0"/>
        <w:bidi w:val="0"/>
        <w:spacing w:line="400" w:lineRule="exact"/>
        <w:ind w:left="629"/>
        <w:rPr>
          <w:rFonts w:hint="eastAsia" w:ascii="宋体" w:hAnsi="宋体" w:eastAsia="宋体" w:cs="宋体"/>
          <w:sz w:val="24"/>
          <w:szCs w:val="24"/>
          <w:highlight w:val="none"/>
        </w:rPr>
      </w:pPr>
    </w:p>
    <w:p w14:paraId="5B886D20">
      <w:pPr>
        <w:pageBreakBefore w:val="0"/>
        <w:kinsoku/>
        <w:wordWrap/>
        <w:topLinePunct w:val="0"/>
        <w:bidi w:val="0"/>
        <w:spacing w:line="400" w:lineRule="exact"/>
        <w:ind w:firstLine="2879" w:firstLineChars="1195"/>
        <w:rPr>
          <w:rFonts w:hint="eastAsia" w:ascii="宋体" w:hAnsi="宋体" w:eastAsia="宋体" w:cs="宋体"/>
          <w:b/>
          <w:bCs/>
          <w:sz w:val="24"/>
          <w:szCs w:val="24"/>
          <w:highlight w:val="none"/>
        </w:rPr>
      </w:pPr>
    </w:p>
    <w:p w14:paraId="45CD3282">
      <w:pPr>
        <w:pageBreakBefore w:val="0"/>
        <w:kinsoku/>
        <w:wordWrap/>
        <w:topLinePunct w:val="0"/>
        <w:bidi w:val="0"/>
        <w:spacing w:line="400" w:lineRule="exact"/>
        <w:ind w:firstLine="2879" w:firstLineChars="1195"/>
        <w:rPr>
          <w:rFonts w:hint="eastAsia" w:ascii="宋体" w:hAnsi="宋体" w:eastAsia="宋体" w:cs="宋体"/>
          <w:b/>
          <w:bCs/>
          <w:sz w:val="24"/>
          <w:szCs w:val="24"/>
          <w:highlight w:val="none"/>
        </w:rPr>
      </w:pPr>
    </w:p>
    <w:p w14:paraId="36B0BB3D">
      <w:pPr>
        <w:pageBreakBefore w:val="0"/>
        <w:kinsoku/>
        <w:wordWrap/>
        <w:topLinePunct w:val="0"/>
        <w:bidi w:val="0"/>
        <w:spacing w:line="400" w:lineRule="exact"/>
        <w:ind w:firstLine="2879" w:firstLineChars="1195"/>
        <w:rPr>
          <w:rFonts w:hint="eastAsia" w:ascii="宋体" w:hAnsi="宋体" w:eastAsia="宋体" w:cs="宋体"/>
          <w:b/>
          <w:bCs/>
          <w:sz w:val="24"/>
          <w:szCs w:val="24"/>
          <w:highlight w:val="none"/>
        </w:rPr>
      </w:pPr>
    </w:p>
    <w:p w14:paraId="45E7FC16">
      <w:pPr>
        <w:pageBreakBefore w:val="0"/>
        <w:tabs>
          <w:tab w:val="left" w:pos="2593"/>
        </w:tabs>
        <w:kinsoku/>
        <w:wordWrap/>
        <w:topLinePunct w:val="0"/>
        <w:bidi w:val="0"/>
        <w:spacing w:line="400" w:lineRule="exact"/>
        <w:jc w:val="center"/>
        <w:rPr>
          <w:rFonts w:hint="eastAsia" w:ascii="宋体" w:hAnsi="宋体" w:eastAsia="宋体" w:cs="宋体"/>
          <w:b/>
          <w:bCs/>
          <w:sz w:val="24"/>
          <w:szCs w:val="24"/>
          <w:highlight w:val="none"/>
        </w:rPr>
      </w:pPr>
    </w:p>
    <w:p w14:paraId="1D0D2703">
      <w:pPr>
        <w:pageBreakBefore w:val="0"/>
        <w:tabs>
          <w:tab w:val="left" w:pos="2593"/>
        </w:tabs>
        <w:kinsoku/>
        <w:wordWrap/>
        <w:topLinePunct w:val="0"/>
        <w:bidi w:val="0"/>
        <w:spacing w:line="400" w:lineRule="exact"/>
        <w:jc w:val="center"/>
        <w:rPr>
          <w:rFonts w:hint="eastAsia" w:ascii="宋体" w:hAnsi="宋体" w:eastAsia="宋体" w:cs="宋体"/>
          <w:b/>
          <w:bCs/>
          <w:sz w:val="24"/>
          <w:szCs w:val="24"/>
          <w:highlight w:val="none"/>
        </w:rPr>
      </w:pPr>
    </w:p>
    <w:p w14:paraId="290B0BFE">
      <w:pPr>
        <w:pageBreakBefore w:val="0"/>
        <w:tabs>
          <w:tab w:val="left" w:pos="2593"/>
        </w:tabs>
        <w:kinsoku/>
        <w:wordWrap/>
        <w:topLinePunct w:val="0"/>
        <w:bidi w:val="0"/>
        <w:spacing w:line="400" w:lineRule="exact"/>
        <w:jc w:val="center"/>
        <w:rPr>
          <w:rFonts w:hint="eastAsia" w:ascii="宋体" w:hAnsi="宋体" w:eastAsia="宋体" w:cs="宋体"/>
          <w:b/>
          <w:bCs/>
          <w:sz w:val="24"/>
          <w:szCs w:val="24"/>
          <w:highlight w:val="none"/>
        </w:rPr>
      </w:pPr>
    </w:p>
    <w:p w14:paraId="428D58DC">
      <w:pPr>
        <w:pageBreakBefore w:val="0"/>
        <w:tabs>
          <w:tab w:val="left" w:pos="2593"/>
        </w:tabs>
        <w:kinsoku/>
        <w:wordWrap/>
        <w:topLinePunct w:val="0"/>
        <w:bidi w:val="0"/>
        <w:spacing w:line="400" w:lineRule="exact"/>
        <w:jc w:val="center"/>
        <w:rPr>
          <w:rFonts w:hint="eastAsia" w:ascii="宋体" w:hAnsi="宋体" w:eastAsia="宋体" w:cs="宋体"/>
          <w:b/>
          <w:bCs/>
          <w:sz w:val="24"/>
          <w:szCs w:val="24"/>
          <w:highlight w:val="none"/>
        </w:rPr>
      </w:pPr>
    </w:p>
    <w:p w14:paraId="1BC83609">
      <w:pPr>
        <w:pageBreakBefore w:val="0"/>
        <w:tabs>
          <w:tab w:val="left" w:pos="2593"/>
        </w:tabs>
        <w:kinsoku/>
        <w:wordWrap/>
        <w:topLinePunct w:val="0"/>
        <w:bidi w:val="0"/>
        <w:spacing w:line="400" w:lineRule="exact"/>
        <w:jc w:val="center"/>
        <w:rPr>
          <w:rFonts w:hint="eastAsia" w:ascii="宋体" w:hAnsi="宋体" w:eastAsia="宋体" w:cs="宋体"/>
          <w:b/>
          <w:bCs/>
          <w:sz w:val="24"/>
          <w:szCs w:val="24"/>
          <w:highlight w:val="none"/>
        </w:rPr>
      </w:pPr>
    </w:p>
    <w:p w14:paraId="5051F150">
      <w:pPr>
        <w:keepNext w:val="0"/>
        <w:keepLines w:val="0"/>
        <w:pageBreakBefore w:val="0"/>
        <w:widowControl w:val="0"/>
        <w:tabs>
          <w:tab w:val="left" w:pos="2593"/>
        </w:tabs>
        <w:kinsoku/>
        <w:wordWrap/>
        <w:overflowPunct/>
        <w:topLinePunct w:val="0"/>
        <w:autoSpaceDE/>
        <w:autoSpaceDN/>
        <w:bidi w:val="0"/>
        <w:adjustRightInd/>
        <w:snapToGrid/>
        <w:spacing w:before="157" w:beforeLines="50" w:after="157" w:afterLines="50" w:line="400" w:lineRule="exact"/>
        <w:ind w:firstLine="2891" w:firstLineChars="800"/>
        <w:jc w:val="both"/>
        <w:textAlignment w:val="auto"/>
        <w:rPr>
          <w:rFonts w:hint="eastAsia" w:ascii="宋体" w:hAnsi="宋体" w:eastAsia="宋体" w:cs="宋体"/>
          <w:b/>
          <w:bCs/>
          <w:sz w:val="36"/>
          <w:szCs w:val="36"/>
          <w:highlight w:val="none"/>
        </w:rPr>
      </w:pPr>
      <w:r>
        <w:rPr>
          <w:rFonts w:hint="eastAsia" w:ascii="宋体" w:hAnsi="宋体" w:eastAsia="宋体" w:cs="宋体"/>
          <w:b/>
          <w:bCs/>
          <w:sz w:val="36"/>
          <w:szCs w:val="36"/>
          <w:highlight w:val="none"/>
        </w:rPr>
        <w:t>安全生产合同</w:t>
      </w:r>
    </w:p>
    <w:p w14:paraId="0D1F2E0D">
      <w:pPr>
        <w:pageBreakBefore w:val="0"/>
        <w:kinsoku/>
        <w:wordWrap/>
        <w:topLinePunct w:val="0"/>
        <w:bidi w:val="0"/>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为</w:t>
      </w:r>
      <w:r>
        <w:rPr>
          <w:rFonts w:hint="eastAsia" w:ascii="宋体" w:hAnsi="宋体" w:eastAsia="宋体" w:cs="宋体"/>
          <w:sz w:val="24"/>
          <w:szCs w:val="24"/>
          <w:highlight w:val="none"/>
          <w:lang w:val="en-US" w:eastAsia="zh-CN"/>
        </w:rPr>
        <w:t>南通市通州区水务有限公司0.4KV有源滤波器成套设备采购及安装项目项目在实施过程中创造安全高效的施工环境，切实搞好本项目的安全管理工作，</w:t>
      </w:r>
      <w:r>
        <w:rPr>
          <w:rFonts w:hint="eastAsia" w:ascii="宋体" w:hAnsi="宋体" w:eastAsia="宋体" w:cs="宋体"/>
          <w:sz w:val="24"/>
          <w:szCs w:val="24"/>
          <w:highlight w:val="none"/>
        </w:rPr>
        <w:t>本项目</w:t>
      </w:r>
      <w:r>
        <w:rPr>
          <w:rFonts w:hint="eastAsia" w:ascii="宋体" w:hAnsi="宋体" w:cs="宋体"/>
          <w:sz w:val="24"/>
          <w:szCs w:val="24"/>
          <w:highlight w:val="none"/>
          <w:lang w:eastAsia="zh-CN"/>
        </w:rPr>
        <w:t>买</w:t>
      </w:r>
      <w:r>
        <w:rPr>
          <w:rFonts w:hint="eastAsia" w:ascii="宋体" w:hAnsi="宋体" w:eastAsia="宋体" w:cs="宋体"/>
          <w:sz w:val="24"/>
          <w:szCs w:val="24"/>
          <w:highlight w:val="none"/>
        </w:rPr>
        <w:t>方南通市通州区水务有限公司（以下简称“</w:t>
      </w:r>
      <w:r>
        <w:rPr>
          <w:rFonts w:hint="eastAsia" w:ascii="宋体" w:hAnsi="宋体" w:cs="宋体"/>
          <w:sz w:val="24"/>
          <w:szCs w:val="24"/>
          <w:highlight w:val="none"/>
          <w:lang w:eastAsia="zh-CN"/>
        </w:rPr>
        <w:t>买</w:t>
      </w:r>
      <w:r>
        <w:rPr>
          <w:rFonts w:hint="eastAsia" w:ascii="宋体" w:hAnsi="宋体" w:eastAsia="宋体" w:cs="宋体"/>
          <w:sz w:val="24"/>
          <w:szCs w:val="24"/>
          <w:highlight w:val="none"/>
        </w:rPr>
        <w:t>方”）与</w:t>
      </w:r>
      <w:r>
        <w:rPr>
          <w:rFonts w:hint="eastAsia" w:ascii="宋体" w:hAnsi="宋体" w:cs="宋体"/>
          <w:sz w:val="24"/>
          <w:szCs w:val="24"/>
          <w:highlight w:val="none"/>
          <w:lang w:val="en-US" w:eastAsia="zh-CN"/>
        </w:rPr>
        <w:t>卖</w:t>
      </w:r>
      <w:r>
        <w:rPr>
          <w:rFonts w:hint="eastAsia" w:ascii="宋体" w:hAnsi="宋体" w:eastAsia="宋体" w:cs="宋体"/>
          <w:sz w:val="24"/>
          <w:szCs w:val="24"/>
          <w:highlight w:val="none"/>
        </w:rPr>
        <w:t>方特此签订安全生产合同:</w:t>
      </w:r>
    </w:p>
    <w:p w14:paraId="39F6E99A">
      <w:pPr>
        <w:keepNext w:val="0"/>
        <w:keepLines w:val="0"/>
        <w:pageBreakBefore w:val="0"/>
        <w:widowControl w:val="0"/>
        <w:kinsoku/>
        <w:wordWrap/>
        <w:overflowPunct/>
        <w:topLinePunct w:val="0"/>
        <w:autoSpaceDE/>
        <w:autoSpaceDN/>
        <w:bidi w:val="0"/>
        <w:adjustRightInd/>
        <w:snapToGrid/>
        <w:spacing w:before="313" w:beforeLines="100" w:after="157" w:afterLines="50" w:line="400" w:lineRule="exact"/>
        <w:ind w:firstLine="646"/>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w:t>
      </w:r>
      <w:r>
        <w:rPr>
          <w:rFonts w:hint="eastAsia" w:ascii="宋体" w:hAnsi="宋体" w:cs="宋体"/>
          <w:b/>
          <w:bCs/>
          <w:sz w:val="24"/>
          <w:szCs w:val="24"/>
          <w:highlight w:val="none"/>
          <w:lang w:eastAsia="zh-CN"/>
        </w:rPr>
        <w:t>买</w:t>
      </w:r>
      <w:r>
        <w:rPr>
          <w:rFonts w:hint="eastAsia" w:ascii="宋体" w:hAnsi="宋体" w:eastAsia="宋体" w:cs="宋体"/>
          <w:b/>
          <w:bCs/>
          <w:sz w:val="24"/>
          <w:szCs w:val="24"/>
          <w:highlight w:val="none"/>
        </w:rPr>
        <w:t>方职责</w:t>
      </w:r>
    </w:p>
    <w:p w14:paraId="398CC1CC">
      <w:pPr>
        <w:pageBreakBefore w:val="0"/>
        <w:kinsoku/>
        <w:wordWrap/>
        <w:topLinePunct w:val="0"/>
        <w:bidi w:val="0"/>
        <w:spacing w:line="400" w:lineRule="exact"/>
        <w:ind w:firstLine="646"/>
        <w:rPr>
          <w:rFonts w:hint="eastAsia" w:ascii="宋体" w:hAnsi="宋体" w:eastAsia="宋体" w:cs="宋体"/>
          <w:sz w:val="24"/>
          <w:szCs w:val="24"/>
          <w:highlight w:val="none"/>
        </w:rPr>
      </w:pPr>
      <w:r>
        <w:rPr>
          <w:rFonts w:hint="eastAsia" w:ascii="宋体" w:hAnsi="宋体" w:eastAsia="宋体" w:cs="宋体"/>
          <w:sz w:val="24"/>
          <w:szCs w:val="24"/>
          <w:highlight w:val="none"/>
        </w:rPr>
        <w:t>1.严格遵守国家有关安全生产的法律法规、认真执行南通市通州区水务有限公司高压预防性试验项目中的有关安全要求。</w:t>
      </w:r>
    </w:p>
    <w:p w14:paraId="248AC015">
      <w:pPr>
        <w:pageBreakBefore w:val="0"/>
        <w:kinsoku/>
        <w:wordWrap/>
        <w:topLinePunct w:val="0"/>
        <w:bidi w:val="0"/>
        <w:spacing w:line="400" w:lineRule="exact"/>
        <w:ind w:firstLine="646"/>
        <w:rPr>
          <w:rFonts w:hint="eastAsia" w:ascii="宋体" w:hAnsi="宋体" w:eastAsia="宋体" w:cs="宋体"/>
          <w:sz w:val="24"/>
          <w:szCs w:val="24"/>
          <w:highlight w:val="none"/>
        </w:rPr>
      </w:pPr>
      <w:r>
        <w:rPr>
          <w:rFonts w:hint="eastAsia" w:ascii="宋体" w:hAnsi="宋体" w:eastAsia="宋体" w:cs="宋体"/>
          <w:sz w:val="24"/>
          <w:szCs w:val="24"/>
          <w:highlight w:val="none"/>
        </w:rPr>
        <w:t>2.组织对</w:t>
      </w:r>
      <w:r>
        <w:rPr>
          <w:rFonts w:hint="eastAsia" w:ascii="宋体" w:hAnsi="宋体" w:cs="宋体"/>
          <w:sz w:val="24"/>
          <w:szCs w:val="24"/>
          <w:highlight w:val="none"/>
          <w:lang w:val="en-US" w:eastAsia="zh-CN"/>
        </w:rPr>
        <w:t>卖</w:t>
      </w:r>
      <w:r>
        <w:rPr>
          <w:rFonts w:hint="eastAsia" w:ascii="宋体" w:hAnsi="宋体" w:eastAsia="宋体" w:cs="宋体"/>
          <w:sz w:val="24"/>
          <w:szCs w:val="24"/>
          <w:highlight w:val="none"/>
        </w:rPr>
        <w:t>方施工现场安全生产检查，监督</w:t>
      </w:r>
      <w:r>
        <w:rPr>
          <w:rFonts w:hint="eastAsia" w:ascii="宋体" w:hAnsi="宋体" w:cs="宋体"/>
          <w:sz w:val="24"/>
          <w:szCs w:val="24"/>
          <w:highlight w:val="none"/>
          <w:lang w:val="en-US" w:eastAsia="zh-CN"/>
        </w:rPr>
        <w:t>卖</w:t>
      </w:r>
      <w:r>
        <w:rPr>
          <w:rFonts w:hint="eastAsia" w:ascii="宋体" w:hAnsi="宋体" w:eastAsia="宋体" w:cs="宋体"/>
          <w:sz w:val="24"/>
          <w:szCs w:val="24"/>
          <w:highlight w:val="none"/>
        </w:rPr>
        <w:t>方并及时处理发现的各项隐患。</w:t>
      </w:r>
    </w:p>
    <w:p w14:paraId="3E55DB26">
      <w:pPr>
        <w:keepNext w:val="0"/>
        <w:keepLines w:val="0"/>
        <w:pageBreakBefore w:val="0"/>
        <w:widowControl w:val="0"/>
        <w:kinsoku/>
        <w:wordWrap/>
        <w:overflowPunct/>
        <w:topLinePunct w:val="0"/>
        <w:autoSpaceDE/>
        <w:autoSpaceDN/>
        <w:bidi w:val="0"/>
        <w:adjustRightInd/>
        <w:snapToGrid/>
        <w:spacing w:before="313" w:beforeLines="100" w:after="157" w:afterLines="50" w:line="400" w:lineRule="exact"/>
        <w:ind w:firstLine="646"/>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二、</w:t>
      </w:r>
      <w:r>
        <w:rPr>
          <w:rFonts w:hint="eastAsia" w:ascii="宋体" w:hAnsi="宋体" w:cs="宋体"/>
          <w:b/>
          <w:bCs/>
          <w:sz w:val="24"/>
          <w:szCs w:val="24"/>
          <w:highlight w:val="none"/>
          <w:lang w:val="en-US" w:eastAsia="zh-CN"/>
        </w:rPr>
        <w:t>卖</w:t>
      </w:r>
      <w:r>
        <w:rPr>
          <w:rFonts w:hint="eastAsia" w:ascii="宋体" w:hAnsi="宋体" w:eastAsia="宋体" w:cs="宋体"/>
          <w:b/>
          <w:bCs/>
          <w:sz w:val="24"/>
          <w:szCs w:val="24"/>
          <w:highlight w:val="none"/>
        </w:rPr>
        <w:t>方职责</w:t>
      </w:r>
    </w:p>
    <w:p w14:paraId="4B09E5D5">
      <w:pPr>
        <w:pageBreakBefore w:val="0"/>
        <w:kinsoku/>
        <w:wordWrap/>
        <w:topLinePunct w:val="0"/>
        <w:bidi w:val="0"/>
        <w:spacing w:line="400" w:lineRule="exact"/>
        <w:ind w:firstLine="646"/>
        <w:rPr>
          <w:rFonts w:hint="eastAsia" w:ascii="宋体" w:hAnsi="宋体" w:eastAsia="宋体" w:cs="宋体"/>
          <w:sz w:val="24"/>
          <w:szCs w:val="24"/>
          <w:highlight w:val="none"/>
        </w:rPr>
      </w:pPr>
      <w:r>
        <w:rPr>
          <w:rFonts w:hint="eastAsia" w:ascii="宋体" w:hAnsi="宋体" w:eastAsia="宋体" w:cs="宋体"/>
          <w:sz w:val="24"/>
          <w:szCs w:val="24"/>
          <w:highlight w:val="none"/>
        </w:rPr>
        <w:t>1.严格遵守国家有关安全生产的法律法规和有关安全生产的规定，严格遵守高压设备检修、试验等相关操作规程，认真执行合同中的有关安全要求。</w:t>
      </w:r>
    </w:p>
    <w:p w14:paraId="1C9504F3">
      <w:pPr>
        <w:pageBreakBefore w:val="0"/>
        <w:kinsoku/>
        <w:wordWrap/>
        <w:topLinePunct w:val="0"/>
        <w:bidi w:val="0"/>
        <w:spacing w:line="400" w:lineRule="exact"/>
        <w:ind w:firstLine="646"/>
        <w:rPr>
          <w:rFonts w:hint="eastAsia" w:ascii="宋体" w:hAnsi="宋体" w:eastAsia="宋体" w:cs="宋体"/>
          <w:sz w:val="24"/>
          <w:szCs w:val="24"/>
          <w:highlight w:val="none"/>
        </w:rPr>
      </w:pPr>
      <w:r>
        <w:rPr>
          <w:rFonts w:hint="eastAsia" w:ascii="宋体" w:hAnsi="宋体" w:eastAsia="宋体" w:cs="宋体"/>
          <w:sz w:val="24"/>
          <w:szCs w:val="24"/>
          <w:highlight w:val="none"/>
        </w:rPr>
        <w:t>2.坚持“安全第—、预防为主”和坚持“管生产必须管安全”的原则，加强安全生产宣传教育，增强安全员安全生产意识，建立健全各项安全生产的管理机构和安全生产管理制度，配备专职或兼职安全检查人员，有组织有领导地开展安全生产活动。各级领导、项目技术人员、施工管理人员和具体操作人员，必须熟悉和遵守本条款的各项规定，做到施工与安全工作同时计划、布置、检查、总结和评比。</w:t>
      </w:r>
    </w:p>
    <w:p w14:paraId="5895356E">
      <w:pPr>
        <w:pageBreakBefore w:val="0"/>
        <w:kinsoku/>
        <w:wordWrap/>
        <w:topLinePunct w:val="0"/>
        <w:bidi w:val="0"/>
        <w:spacing w:line="400" w:lineRule="exact"/>
        <w:ind w:firstLine="646"/>
        <w:rPr>
          <w:rFonts w:hint="eastAsia" w:ascii="宋体" w:hAnsi="宋体" w:eastAsia="宋体" w:cs="宋体"/>
          <w:sz w:val="24"/>
          <w:szCs w:val="24"/>
          <w:highlight w:val="none"/>
        </w:rPr>
      </w:pPr>
      <w:r>
        <w:rPr>
          <w:rFonts w:hint="eastAsia" w:ascii="宋体" w:hAnsi="宋体" w:eastAsia="宋体" w:cs="宋体"/>
          <w:sz w:val="24"/>
          <w:szCs w:val="24"/>
          <w:highlight w:val="none"/>
        </w:rPr>
        <w:t>3.建立健全安全生产责任制。从派往项目实施的项目负责人到施工工人（包括临时雇请的民工）的安全生产管理系统必须做到纵向到底，一环不漏；各职能部门、人员的安全生产责任制做到横向到边，人人有责。项目负责人是安全生产的第—责任人。现场应配备专职或兼职安全员，负责所有员工的安全和治安保卫工作及预防事故的发生。安全机构人员，有权按有关规定发布指令，并采取保护性措施防止事故发生。</w:t>
      </w:r>
    </w:p>
    <w:p w14:paraId="0E0F85B3">
      <w:pPr>
        <w:pageBreakBefore w:val="0"/>
        <w:kinsoku/>
        <w:wordWrap/>
        <w:topLinePunct w:val="0"/>
        <w:bidi w:val="0"/>
        <w:spacing w:line="400" w:lineRule="exact"/>
        <w:ind w:firstLine="646"/>
        <w:rPr>
          <w:rFonts w:hint="eastAsia" w:ascii="宋体" w:hAnsi="宋体" w:eastAsia="宋体" w:cs="宋体"/>
          <w:sz w:val="24"/>
          <w:szCs w:val="24"/>
          <w:highlight w:val="none"/>
        </w:rPr>
      </w:pPr>
      <w:r>
        <w:rPr>
          <w:rFonts w:hint="eastAsia" w:ascii="宋体" w:hAnsi="宋体" w:eastAsia="宋体" w:cs="宋体"/>
          <w:sz w:val="24"/>
          <w:szCs w:val="24"/>
          <w:highlight w:val="none"/>
        </w:rPr>
        <w:t>4.</w:t>
      </w:r>
      <w:r>
        <w:rPr>
          <w:rFonts w:hint="eastAsia" w:ascii="宋体" w:hAnsi="宋体" w:cs="宋体"/>
          <w:sz w:val="24"/>
          <w:szCs w:val="24"/>
          <w:highlight w:val="none"/>
          <w:lang w:val="en-US" w:eastAsia="zh-CN"/>
        </w:rPr>
        <w:t>卖</w:t>
      </w:r>
      <w:r>
        <w:rPr>
          <w:rFonts w:hint="eastAsia" w:ascii="宋体" w:hAnsi="宋体" w:eastAsia="宋体" w:cs="宋体"/>
          <w:sz w:val="24"/>
          <w:szCs w:val="24"/>
          <w:highlight w:val="none"/>
        </w:rPr>
        <w:t>方在任何时候都应采取各种合理的预防措施，防止其员工发生任何违法、违禁、暴力或妨碍治安的行为。</w:t>
      </w:r>
    </w:p>
    <w:p w14:paraId="56E6FEBC">
      <w:pPr>
        <w:pageBreakBefore w:val="0"/>
        <w:kinsoku/>
        <w:wordWrap/>
        <w:topLinePunct w:val="0"/>
        <w:bidi w:val="0"/>
        <w:spacing w:line="400" w:lineRule="exact"/>
        <w:ind w:firstLine="646"/>
        <w:rPr>
          <w:rFonts w:hint="eastAsia" w:ascii="宋体" w:hAnsi="宋体" w:eastAsia="宋体" w:cs="宋体"/>
          <w:sz w:val="24"/>
          <w:szCs w:val="24"/>
          <w:highlight w:val="none"/>
        </w:rPr>
      </w:pPr>
      <w:r>
        <w:rPr>
          <w:rFonts w:hint="eastAsia" w:ascii="宋体" w:hAnsi="宋体" w:eastAsia="宋体" w:cs="宋体"/>
          <w:sz w:val="24"/>
          <w:szCs w:val="24"/>
          <w:highlight w:val="none"/>
        </w:rPr>
        <w:t>5.</w:t>
      </w:r>
      <w:r>
        <w:rPr>
          <w:rFonts w:hint="eastAsia" w:ascii="宋体" w:hAnsi="宋体" w:cs="宋体"/>
          <w:sz w:val="24"/>
          <w:szCs w:val="24"/>
          <w:highlight w:val="none"/>
          <w:lang w:val="en-US" w:eastAsia="zh-CN"/>
        </w:rPr>
        <w:t>卖</w:t>
      </w:r>
      <w:r>
        <w:rPr>
          <w:rFonts w:hint="eastAsia" w:ascii="宋体" w:hAnsi="宋体" w:eastAsia="宋体" w:cs="宋体"/>
          <w:sz w:val="24"/>
          <w:szCs w:val="24"/>
          <w:highlight w:val="none"/>
        </w:rPr>
        <w:t>方必须具有劳动安全管理部门颁发的安全生产证书，参加施工的人员，必须接受安全技术教育，熟知和遵守本工种的各项安全技术操作规程，定期进行安全技术考核，合格者方准上岗操作。对于从事电气、建筑登高架设作业、焊接、机动车船驾驶等特殊工种的人员，经过专业培训，获得《安全操作合格证》后，方准持证上岗。施工现场如出现特种作业无证操作现象时，项目负责人必须承担管理责任。</w:t>
      </w:r>
    </w:p>
    <w:p w14:paraId="153854CB">
      <w:pPr>
        <w:pageBreakBefore w:val="0"/>
        <w:kinsoku/>
        <w:wordWrap/>
        <w:topLinePunct w:val="0"/>
        <w:bidi w:val="0"/>
        <w:spacing w:line="400" w:lineRule="exact"/>
        <w:ind w:firstLine="646"/>
        <w:rPr>
          <w:rFonts w:hint="eastAsia" w:ascii="宋体" w:hAnsi="宋体" w:eastAsia="宋体" w:cs="宋体"/>
          <w:sz w:val="24"/>
          <w:szCs w:val="24"/>
          <w:highlight w:val="none"/>
        </w:rPr>
      </w:pPr>
      <w:r>
        <w:rPr>
          <w:rFonts w:hint="eastAsia" w:ascii="宋体" w:hAnsi="宋体" w:eastAsia="宋体" w:cs="宋体"/>
          <w:sz w:val="24"/>
          <w:szCs w:val="24"/>
          <w:highlight w:val="none"/>
        </w:rPr>
        <w:t>6.对于易燃易爆的材料除应专门妥善保管之外，还应配备有足够的消防设施，所有施工人员都应熟悉消防设备的性能和使用方法；</w:t>
      </w:r>
      <w:r>
        <w:rPr>
          <w:rFonts w:hint="eastAsia" w:ascii="宋体" w:hAnsi="宋体" w:cs="宋体"/>
          <w:sz w:val="24"/>
          <w:szCs w:val="24"/>
          <w:highlight w:val="none"/>
          <w:lang w:val="en-US" w:eastAsia="zh-CN"/>
        </w:rPr>
        <w:t>卖</w:t>
      </w:r>
      <w:r>
        <w:rPr>
          <w:rFonts w:hint="eastAsia" w:ascii="宋体" w:hAnsi="宋体" w:eastAsia="宋体" w:cs="宋体"/>
          <w:sz w:val="24"/>
          <w:szCs w:val="24"/>
          <w:highlight w:val="none"/>
        </w:rPr>
        <w:t>方不得将任何种类的爆炸物给予、易货或以其他方式转让给任何其他人，或允许、容忍上述同样行为。</w:t>
      </w:r>
    </w:p>
    <w:p w14:paraId="4767C3B2">
      <w:pPr>
        <w:pageBreakBefore w:val="0"/>
        <w:kinsoku/>
        <w:wordWrap/>
        <w:topLinePunct w:val="0"/>
        <w:bidi w:val="0"/>
        <w:spacing w:line="400" w:lineRule="exact"/>
        <w:ind w:firstLine="646"/>
        <w:rPr>
          <w:rFonts w:hint="eastAsia" w:ascii="宋体" w:hAnsi="宋体" w:eastAsia="宋体" w:cs="宋体"/>
          <w:sz w:val="24"/>
          <w:szCs w:val="24"/>
          <w:highlight w:val="none"/>
        </w:rPr>
      </w:pPr>
      <w:r>
        <w:rPr>
          <w:rFonts w:hint="eastAsia" w:ascii="宋体" w:hAnsi="宋体" w:eastAsia="宋体" w:cs="宋体"/>
          <w:sz w:val="24"/>
          <w:szCs w:val="24"/>
          <w:highlight w:val="none"/>
        </w:rPr>
        <w:t>7.操作人员上岗，必须按规定穿戴防护用品。施工负责人和安全检查员应随时检查劳动防护用品的穿戴情况，不按规定穿戴防护用品的人员不得上岗。</w:t>
      </w:r>
    </w:p>
    <w:p w14:paraId="691C8040">
      <w:pPr>
        <w:pageBreakBefore w:val="0"/>
        <w:kinsoku/>
        <w:wordWrap/>
        <w:topLinePunct w:val="0"/>
        <w:bidi w:val="0"/>
        <w:spacing w:line="400" w:lineRule="exact"/>
        <w:ind w:firstLine="646"/>
        <w:rPr>
          <w:rFonts w:hint="eastAsia" w:ascii="宋体" w:hAnsi="宋体" w:eastAsia="宋体" w:cs="宋体"/>
          <w:sz w:val="24"/>
          <w:szCs w:val="24"/>
          <w:highlight w:val="none"/>
        </w:rPr>
      </w:pPr>
      <w:r>
        <w:rPr>
          <w:rFonts w:hint="eastAsia" w:ascii="宋体" w:hAnsi="宋体" w:eastAsia="宋体" w:cs="宋体"/>
          <w:sz w:val="24"/>
          <w:szCs w:val="24"/>
          <w:highlight w:val="none"/>
        </w:rPr>
        <w:t>8.所有施工机具设备和高空作业的设备均应定期检查，并有安全员的签字记录，保证其经常处于完好状态；不合格的机具、设备和劳动保护用品严禁使用。</w:t>
      </w:r>
    </w:p>
    <w:p w14:paraId="193EA58A">
      <w:pPr>
        <w:pageBreakBefore w:val="0"/>
        <w:kinsoku/>
        <w:wordWrap/>
        <w:topLinePunct w:val="0"/>
        <w:bidi w:val="0"/>
        <w:spacing w:line="400" w:lineRule="exact"/>
        <w:ind w:firstLine="646"/>
        <w:rPr>
          <w:rFonts w:hint="eastAsia" w:ascii="宋体" w:hAnsi="宋体" w:eastAsia="宋体" w:cs="宋体"/>
          <w:sz w:val="24"/>
          <w:szCs w:val="24"/>
          <w:highlight w:val="none"/>
        </w:rPr>
      </w:pPr>
      <w:r>
        <w:rPr>
          <w:rFonts w:hint="eastAsia" w:ascii="宋体" w:hAnsi="宋体" w:eastAsia="宋体" w:cs="宋体"/>
          <w:sz w:val="24"/>
          <w:szCs w:val="24"/>
          <w:highlight w:val="none"/>
        </w:rPr>
        <w:t>9.施工中采用新技术、新工艺、新设备、新材料时，必须制定相应的安全技术措施，施工现场必须具有相关的安全标志牌。</w:t>
      </w:r>
    </w:p>
    <w:p w14:paraId="665205AF">
      <w:pPr>
        <w:pageBreakBefore w:val="0"/>
        <w:kinsoku/>
        <w:wordWrap/>
        <w:topLinePunct w:val="0"/>
        <w:bidi w:val="0"/>
        <w:spacing w:line="400" w:lineRule="exact"/>
        <w:ind w:firstLine="646"/>
        <w:rPr>
          <w:rFonts w:hint="eastAsia" w:ascii="宋体" w:hAnsi="宋体" w:eastAsia="宋体" w:cs="宋体"/>
          <w:sz w:val="24"/>
          <w:szCs w:val="24"/>
          <w:highlight w:val="none"/>
        </w:rPr>
      </w:pPr>
      <w:r>
        <w:rPr>
          <w:rFonts w:hint="eastAsia" w:ascii="宋体" w:hAnsi="宋体" w:eastAsia="宋体" w:cs="宋体"/>
          <w:sz w:val="24"/>
          <w:szCs w:val="24"/>
          <w:highlight w:val="none"/>
        </w:rPr>
        <w:t>10.</w:t>
      </w:r>
      <w:r>
        <w:rPr>
          <w:rFonts w:hint="eastAsia" w:ascii="宋体" w:hAnsi="宋体" w:cs="宋体"/>
          <w:sz w:val="24"/>
          <w:szCs w:val="24"/>
          <w:highlight w:val="none"/>
          <w:lang w:val="en-US" w:eastAsia="zh-CN"/>
        </w:rPr>
        <w:t>卖</w:t>
      </w:r>
      <w:r>
        <w:rPr>
          <w:rFonts w:hint="eastAsia" w:ascii="宋体" w:hAnsi="宋体" w:eastAsia="宋体" w:cs="宋体"/>
          <w:sz w:val="24"/>
          <w:szCs w:val="24"/>
          <w:highlight w:val="none"/>
        </w:rPr>
        <w:t>方必须按照本工程项目特点，组织制定本工程实施中的生产安全事故应急救援预案；如果发生安全事故，应按照《国务院关于特大安全事故行政责任追究的规定》以及其它有关规定，及时上报有关部门，并坚持“三不放过”的原则，严肃处理相关责任人。</w:t>
      </w:r>
    </w:p>
    <w:p w14:paraId="2ADC24AB">
      <w:pPr>
        <w:keepNext w:val="0"/>
        <w:keepLines w:val="0"/>
        <w:pageBreakBefore w:val="0"/>
        <w:widowControl w:val="0"/>
        <w:kinsoku/>
        <w:wordWrap/>
        <w:overflowPunct/>
        <w:topLinePunct w:val="0"/>
        <w:autoSpaceDE/>
        <w:autoSpaceDN/>
        <w:bidi w:val="0"/>
        <w:adjustRightInd/>
        <w:snapToGrid/>
        <w:spacing w:before="313" w:beforeLines="100" w:after="157" w:afterLines="50" w:line="400" w:lineRule="exact"/>
        <w:ind w:firstLine="646"/>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三、违约责任</w:t>
      </w:r>
    </w:p>
    <w:p w14:paraId="048E93FC">
      <w:pPr>
        <w:pageBreakBefore w:val="0"/>
        <w:kinsoku/>
        <w:wordWrap/>
        <w:topLinePunct w:val="0"/>
        <w:bidi w:val="0"/>
        <w:spacing w:line="400" w:lineRule="exact"/>
        <w:ind w:firstLine="646"/>
        <w:rPr>
          <w:rFonts w:hint="eastAsia" w:ascii="宋体" w:hAnsi="宋体" w:eastAsia="宋体" w:cs="宋体"/>
          <w:sz w:val="24"/>
          <w:szCs w:val="24"/>
          <w:highlight w:val="none"/>
        </w:rPr>
      </w:pPr>
      <w:r>
        <w:rPr>
          <w:rFonts w:hint="eastAsia" w:ascii="宋体" w:hAnsi="宋体" w:eastAsia="宋体" w:cs="宋体"/>
          <w:sz w:val="24"/>
          <w:szCs w:val="24"/>
          <w:highlight w:val="none"/>
        </w:rPr>
        <w:t>如因</w:t>
      </w:r>
      <w:r>
        <w:rPr>
          <w:rFonts w:hint="eastAsia" w:ascii="宋体" w:hAnsi="宋体" w:cs="宋体"/>
          <w:sz w:val="24"/>
          <w:szCs w:val="24"/>
          <w:highlight w:val="none"/>
          <w:lang w:eastAsia="zh-CN"/>
        </w:rPr>
        <w:t>买</w:t>
      </w:r>
      <w:r>
        <w:rPr>
          <w:rFonts w:hint="eastAsia" w:ascii="宋体" w:hAnsi="宋体" w:eastAsia="宋体" w:cs="宋体"/>
          <w:sz w:val="24"/>
          <w:szCs w:val="24"/>
          <w:highlight w:val="none"/>
        </w:rPr>
        <w:t>方或</w:t>
      </w:r>
      <w:r>
        <w:rPr>
          <w:rFonts w:hint="eastAsia" w:ascii="宋体" w:hAnsi="宋体" w:cs="宋体"/>
          <w:sz w:val="24"/>
          <w:szCs w:val="24"/>
          <w:highlight w:val="none"/>
          <w:lang w:val="en-US" w:eastAsia="zh-CN"/>
        </w:rPr>
        <w:t>卖</w:t>
      </w:r>
      <w:r>
        <w:rPr>
          <w:rFonts w:hint="eastAsia" w:ascii="宋体" w:hAnsi="宋体" w:eastAsia="宋体" w:cs="宋体"/>
          <w:sz w:val="24"/>
          <w:szCs w:val="24"/>
          <w:highlight w:val="none"/>
        </w:rPr>
        <w:t>方违约造成安全事故，将依法追究责任。因此产生的各项损失均由</w:t>
      </w:r>
      <w:r>
        <w:rPr>
          <w:rFonts w:hint="eastAsia" w:ascii="宋体" w:hAnsi="宋体" w:cs="宋体"/>
          <w:sz w:val="24"/>
          <w:szCs w:val="24"/>
          <w:highlight w:val="none"/>
          <w:lang w:val="en-US" w:eastAsia="zh-CN"/>
        </w:rPr>
        <w:t>卖</w:t>
      </w:r>
      <w:r>
        <w:rPr>
          <w:rFonts w:hint="eastAsia" w:ascii="宋体" w:hAnsi="宋体" w:eastAsia="宋体" w:cs="宋体"/>
          <w:sz w:val="24"/>
          <w:szCs w:val="24"/>
          <w:highlight w:val="none"/>
        </w:rPr>
        <w:t>方承担。</w:t>
      </w:r>
    </w:p>
    <w:p w14:paraId="0C917E5B">
      <w:pPr>
        <w:pageBreakBefore w:val="0"/>
        <w:kinsoku/>
        <w:wordWrap/>
        <w:topLinePunct w:val="0"/>
        <w:bidi w:val="0"/>
        <w:spacing w:line="400" w:lineRule="exact"/>
        <w:ind w:firstLine="646"/>
        <w:rPr>
          <w:rFonts w:hint="eastAsia" w:ascii="宋体" w:hAnsi="宋体" w:eastAsia="宋体" w:cs="宋体"/>
          <w:sz w:val="24"/>
          <w:szCs w:val="24"/>
          <w:highlight w:val="none"/>
        </w:rPr>
      </w:pPr>
      <w:r>
        <w:rPr>
          <w:rFonts w:hint="eastAsia" w:ascii="宋体" w:hAnsi="宋体" w:eastAsia="宋体" w:cs="宋体"/>
          <w:sz w:val="24"/>
          <w:szCs w:val="24"/>
          <w:highlight w:val="none"/>
        </w:rPr>
        <w:t>本合同正本一式肆份，合同双方各执贰份。由双方法定代表人或其授权的委托代理人签署与加盖公章后生效，全部工程竣工验收后失效。</w:t>
      </w:r>
    </w:p>
    <w:p w14:paraId="53F17FD5">
      <w:pPr>
        <w:pStyle w:val="10"/>
        <w:pageBreakBefore w:val="0"/>
        <w:kinsoku/>
        <w:wordWrap/>
        <w:topLinePunct w:val="0"/>
        <w:bidi w:val="0"/>
        <w:spacing w:line="400" w:lineRule="exact"/>
        <w:rPr>
          <w:rFonts w:hint="eastAsia" w:ascii="宋体" w:hAnsi="宋体" w:eastAsia="宋体" w:cs="宋体"/>
          <w:sz w:val="24"/>
          <w:szCs w:val="24"/>
          <w:highlight w:val="none"/>
        </w:rPr>
      </w:pPr>
    </w:p>
    <w:p w14:paraId="548EFA2E">
      <w:pPr>
        <w:pageBreakBefore w:val="0"/>
        <w:kinsoku/>
        <w:wordWrap/>
        <w:topLinePunct w:val="0"/>
        <w:bidi w:val="0"/>
        <w:spacing w:line="400" w:lineRule="exact"/>
        <w:jc w:val="left"/>
        <w:rPr>
          <w:rFonts w:hint="eastAsia" w:ascii="宋体" w:hAnsi="宋体" w:eastAsia="宋体" w:cs="宋体"/>
          <w:sz w:val="24"/>
          <w:szCs w:val="24"/>
          <w:highlight w:val="none"/>
        </w:rPr>
      </w:pPr>
    </w:p>
    <w:p w14:paraId="3FBE7CCB">
      <w:pPr>
        <w:spacing w:line="480" w:lineRule="auto"/>
        <w:rPr>
          <w:rFonts w:hint="eastAsia" w:ascii="Calibri" w:hAnsi="Calibri"/>
          <w:sz w:val="24"/>
          <w:szCs w:val="24"/>
          <w:lang w:val="en-US" w:eastAsia="zh-CN"/>
        </w:rPr>
      </w:pPr>
      <w:r>
        <w:rPr>
          <w:rFonts w:hint="eastAsia" w:ascii="Calibri" w:hAnsi="Calibri"/>
          <w:sz w:val="24"/>
          <w:szCs w:val="24"/>
          <w:lang w:val="en-US" w:eastAsia="zh-CN"/>
        </w:rPr>
        <w:t>甲方单位：（盖章）                        乙方单位：（盖章）</w:t>
      </w:r>
    </w:p>
    <w:p w14:paraId="74EE58FE">
      <w:pPr>
        <w:spacing w:line="480" w:lineRule="auto"/>
        <w:rPr>
          <w:rFonts w:hint="default" w:ascii="Calibri" w:hAnsi="Calibri"/>
          <w:sz w:val="24"/>
          <w:szCs w:val="24"/>
          <w:lang w:val="en-US" w:eastAsia="zh-CN"/>
        </w:rPr>
      </w:pPr>
      <w:r>
        <w:rPr>
          <w:rFonts w:hint="eastAsia" w:ascii="Calibri" w:hAnsi="Calibri"/>
          <w:sz w:val="24"/>
          <w:szCs w:val="24"/>
          <w:lang w:val="en-US" w:eastAsia="zh-CN"/>
        </w:rPr>
        <w:t>地址：                                    地址：</w:t>
      </w:r>
    </w:p>
    <w:p w14:paraId="1309F9FF">
      <w:pPr>
        <w:spacing w:line="480" w:lineRule="auto"/>
        <w:rPr>
          <w:rFonts w:hint="eastAsia" w:ascii="Calibri" w:hAnsi="Calibri"/>
          <w:sz w:val="24"/>
          <w:szCs w:val="24"/>
          <w:lang w:val="en-US" w:eastAsia="zh-CN"/>
        </w:rPr>
      </w:pPr>
      <w:r>
        <w:rPr>
          <w:rFonts w:hint="eastAsia" w:ascii="Calibri" w:hAnsi="Calibri"/>
          <w:sz w:val="24"/>
          <w:szCs w:val="24"/>
          <w:lang w:val="en-US" w:eastAsia="zh-CN"/>
        </w:rPr>
        <w:t>法定代表人：                              法定代表人：</w:t>
      </w:r>
    </w:p>
    <w:p w14:paraId="7121DE60">
      <w:pPr>
        <w:spacing w:line="480" w:lineRule="auto"/>
        <w:rPr>
          <w:rFonts w:hint="eastAsia" w:ascii="Calibri" w:hAnsi="Calibri"/>
          <w:sz w:val="24"/>
          <w:szCs w:val="24"/>
          <w:lang w:val="en-US" w:eastAsia="zh-CN"/>
        </w:rPr>
      </w:pPr>
      <w:r>
        <w:rPr>
          <w:rFonts w:hint="eastAsia" w:ascii="Calibri" w:hAnsi="Calibri"/>
          <w:sz w:val="24"/>
          <w:szCs w:val="24"/>
          <w:lang w:val="en-US" w:eastAsia="zh-CN"/>
        </w:rPr>
        <w:t>法定代表人身份证号：                      法定代表人身份证号：</w:t>
      </w:r>
    </w:p>
    <w:p w14:paraId="655D746D">
      <w:pPr>
        <w:spacing w:line="480" w:lineRule="auto"/>
        <w:rPr>
          <w:rFonts w:hint="default" w:ascii="Calibri" w:hAnsi="Calibri"/>
          <w:sz w:val="24"/>
          <w:szCs w:val="24"/>
          <w:lang w:val="en-US" w:eastAsia="zh-CN"/>
        </w:rPr>
      </w:pPr>
      <w:r>
        <w:rPr>
          <w:rFonts w:hint="eastAsia" w:ascii="Calibri" w:hAnsi="Calibri"/>
          <w:sz w:val="24"/>
          <w:szCs w:val="24"/>
          <w:lang w:val="en-US" w:eastAsia="zh-CN"/>
        </w:rPr>
        <w:t>委托代理人：                              委托代理人：</w:t>
      </w:r>
    </w:p>
    <w:p w14:paraId="19DE8FF3">
      <w:pPr>
        <w:spacing w:line="480" w:lineRule="auto"/>
        <w:rPr>
          <w:rFonts w:hint="eastAsia" w:ascii="Calibri" w:hAnsi="Calibri"/>
          <w:sz w:val="24"/>
          <w:szCs w:val="24"/>
          <w:lang w:val="en-US" w:eastAsia="zh-CN"/>
        </w:rPr>
      </w:pPr>
      <w:r>
        <w:rPr>
          <w:rFonts w:hint="eastAsia" w:ascii="Calibri" w:hAnsi="Calibri"/>
          <w:sz w:val="24"/>
          <w:szCs w:val="24"/>
          <w:lang w:val="en-US" w:eastAsia="zh-CN"/>
        </w:rPr>
        <w:t>联系方式：                                联系方式：</w:t>
      </w:r>
    </w:p>
    <w:p w14:paraId="4D411CB4">
      <w:pPr>
        <w:spacing w:line="480" w:lineRule="auto"/>
        <w:rPr>
          <w:rFonts w:hint="eastAsia" w:ascii="Calibri" w:hAnsi="Calibri"/>
          <w:sz w:val="24"/>
          <w:szCs w:val="24"/>
          <w:lang w:val="en-US" w:eastAsia="zh-CN"/>
        </w:rPr>
      </w:pPr>
      <w:r>
        <w:rPr>
          <w:rFonts w:hint="eastAsia" w:ascii="Calibri" w:hAnsi="Calibri"/>
          <w:sz w:val="24"/>
          <w:szCs w:val="24"/>
          <w:lang w:val="en-US" w:eastAsia="zh-CN"/>
        </w:rPr>
        <w:t>签订地点：</w:t>
      </w:r>
    </w:p>
    <w:p w14:paraId="7D334830">
      <w:pPr>
        <w:pageBreakBefore w:val="0"/>
        <w:kinsoku/>
        <w:wordWrap/>
        <w:topLinePunct w:val="0"/>
        <w:bidi w:val="0"/>
        <w:spacing w:line="400" w:lineRule="exact"/>
        <w:jc w:val="center"/>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pPr>
    </w:p>
    <w:p w14:paraId="3960284E">
      <w:pPr>
        <w:pageBreakBefore w:val="0"/>
        <w:kinsoku/>
        <w:wordWrap/>
        <w:topLinePunct w:val="0"/>
        <w:bidi w:val="0"/>
        <w:spacing w:line="400" w:lineRule="exact"/>
        <w:jc w:val="center"/>
        <w:rPr>
          <w:rFonts w:hint="eastAsia" w:ascii="宋体" w:hAnsi="宋体" w:eastAsia="宋体" w:cs="宋体"/>
          <w:b/>
          <w:bCs/>
          <w:sz w:val="24"/>
          <w:szCs w:val="24"/>
          <w:highlight w:val="none"/>
        </w:rPr>
      </w:pPr>
    </w:p>
    <w:p w14:paraId="186EFED9">
      <w:pPr>
        <w:pageBreakBefore w:val="0"/>
        <w:kinsoku/>
        <w:wordWrap/>
        <w:topLinePunct w:val="0"/>
        <w:bidi w:val="0"/>
        <w:spacing w:line="400" w:lineRule="exact"/>
        <w:jc w:val="center"/>
        <w:rPr>
          <w:rFonts w:hint="eastAsia" w:ascii="宋体" w:hAnsi="宋体" w:eastAsia="宋体" w:cs="宋体"/>
          <w:b/>
          <w:bCs/>
          <w:sz w:val="24"/>
          <w:szCs w:val="24"/>
          <w:highlight w:val="none"/>
        </w:rPr>
      </w:pPr>
    </w:p>
    <w:p w14:paraId="775C4359">
      <w:pPr>
        <w:pageBreakBefore w:val="0"/>
        <w:kinsoku/>
        <w:wordWrap/>
        <w:topLinePunct w:val="0"/>
        <w:bidi w:val="0"/>
        <w:spacing w:line="400" w:lineRule="exact"/>
        <w:jc w:val="center"/>
        <w:rPr>
          <w:rFonts w:hint="eastAsia" w:ascii="宋体" w:hAnsi="宋体" w:eastAsia="宋体" w:cs="宋体"/>
          <w:b/>
          <w:bCs/>
          <w:sz w:val="24"/>
          <w:szCs w:val="24"/>
          <w:highlight w:val="none"/>
        </w:rPr>
      </w:pPr>
    </w:p>
    <w:p w14:paraId="6D9DCDBF">
      <w:pPr>
        <w:pageBreakBefore w:val="0"/>
        <w:kinsoku/>
        <w:wordWrap/>
        <w:topLinePunct w:val="0"/>
        <w:bidi w:val="0"/>
        <w:spacing w:line="400" w:lineRule="exact"/>
        <w:jc w:val="center"/>
        <w:rPr>
          <w:rFonts w:hint="eastAsia" w:ascii="宋体" w:hAnsi="宋体" w:eastAsia="宋体" w:cs="宋体"/>
          <w:b/>
          <w:bCs/>
          <w:sz w:val="24"/>
          <w:szCs w:val="24"/>
          <w:highlight w:val="none"/>
        </w:rPr>
      </w:pPr>
    </w:p>
    <w:p w14:paraId="7092A382">
      <w:pPr>
        <w:pageBreakBefore w:val="0"/>
        <w:kinsoku/>
        <w:wordWrap/>
        <w:topLinePunct w:val="0"/>
        <w:bidi w:val="0"/>
        <w:spacing w:line="400" w:lineRule="exact"/>
        <w:jc w:val="center"/>
        <w:rPr>
          <w:rFonts w:hint="eastAsia" w:ascii="宋体" w:hAnsi="宋体" w:eastAsia="宋体" w:cs="宋体"/>
          <w:b/>
          <w:bCs/>
          <w:sz w:val="24"/>
          <w:szCs w:val="24"/>
          <w:highlight w:val="none"/>
        </w:rPr>
      </w:pPr>
    </w:p>
    <w:p w14:paraId="2962B155">
      <w:pPr>
        <w:keepNext w:val="0"/>
        <w:keepLines w:val="0"/>
        <w:pageBreakBefore w:val="0"/>
        <w:widowControl w:val="0"/>
        <w:kinsoku/>
        <w:wordWrap/>
        <w:overflowPunct/>
        <w:topLinePunct w:val="0"/>
        <w:autoSpaceDE/>
        <w:autoSpaceDN/>
        <w:bidi w:val="0"/>
        <w:adjustRightInd/>
        <w:snapToGrid/>
        <w:spacing w:before="157" w:beforeLines="50" w:after="157" w:afterLines="50" w:line="400" w:lineRule="exact"/>
        <w:jc w:val="both"/>
        <w:textAlignment w:val="auto"/>
        <w:rPr>
          <w:rFonts w:hint="eastAsia" w:ascii="宋体" w:hAnsi="宋体" w:cs="宋体"/>
          <w:b/>
          <w:bCs/>
          <w:sz w:val="36"/>
          <w:szCs w:val="36"/>
          <w:highlight w:val="none"/>
          <w:lang w:val="en-US" w:eastAsia="zh-CN"/>
        </w:rPr>
      </w:pPr>
      <w:r>
        <w:rPr>
          <w:rFonts w:hint="eastAsia" w:ascii="宋体" w:hAnsi="宋体" w:cs="宋体"/>
          <w:b/>
          <w:bCs/>
          <w:sz w:val="36"/>
          <w:szCs w:val="36"/>
          <w:highlight w:val="none"/>
          <w:lang w:val="en-US" w:eastAsia="zh-CN"/>
        </w:rPr>
        <w:t xml:space="preserve">                 </w:t>
      </w:r>
    </w:p>
    <w:p w14:paraId="62751764">
      <w:pPr>
        <w:keepNext w:val="0"/>
        <w:keepLines w:val="0"/>
        <w:pageBreakBefore w:val="0"/>
        <w:widowControl w:val="0"/>
        <w:kinsoku/>
        <w:wordWrap/>
        <w:overflowPunct/>
        <w:topLinePunct w:val="0"/>
        <w:autoSpaceDE/>
        <w:autoSpaceDN/>
        <w:bidi w:val="0"/>
        <w:adjustRightInd/>
        <w:snapToGrid/>
        <w:spacing w:before="157" w:beforeLines="50" w:after="157" w:afterLines="50" w:line="400" w:lineRule="exact"/>
        <w:ind w:firstLine="3253" w:firstLineChars="900"/>
        <w:jc w:val="both"/>
        <w:textAlignment w:val="auto"/>
        <w:rPr>
          <w:rFonts w:hint="eastAsia" w:ascii="宋体" w:hAnsi="宋体" w:eastAsia="宋体" w:cs="宋体"/>
          <w:b/>
          <w:bCs/>
          <w:sz w:val="36"/>
          <w:szCs w:val="36"/>
          <w:highlight w:val="none"/>
        </w:rPr>
      </w:pPr>
      <w:r>
        <w:rPr>
          <w:rFonts w:hint="eastAsia" w:ascii="宋体" w:hAnsi="宋体" w:cs="宋体"/>
          <w:b/>
          <w:bCs/>
          <w:sz w:val="36"/>
          <w:szCs w:val="36"/>
          <w:highlight w:val="none"/>
          <w:lang w:val="en-US" w:eastAsia="zh-CN"/>
        </w:rPr>
        <w:t xml:space="preserve">  </w:t>
      </w:r>
      <w:r>
        <w:rPr>
          <w:rFonts w:hint="eastAsia" w:ascii="宋体" w:hAnsi="宋体" w:eastAsia="宋体" w:cs="宋体"/>
          <w:b/>
          <w:bCs/>
          <w:sz w:val="36"/>
          <w:szCs w:val="36"/>
          <w:highlight w:val="none"/>
        </w:rPr>
        <w:t>廉政协议</w:t>
      </w:r>
    </w:p>
    <w:p w14:paraId="44C10722">
      <w:pPr>
        <w:keepNext w:val="0"/>
        <w:keepLines w:val="0"/>
        <w:pageBreakBefore w:val="0"/>
        <w:widowControl w:val="0"/>
        <w:kinsoku/>
        <w:wordWrap/>
        <w:overflowPunct/>
        <w:topLinePunct w:val="0"/>
        <w:autoSpaceDE/>
        <w:autoSpaceDN/>
        <w:bidi w:val="0"/>
        <w:adjustRightInd/>
        <w:snapToGrid/>
        <w:spacing w:line="290" w:lineRule="exact"/>
        <w:textAlignment w:val="auto"/>
        <w:rPr>
          <w:rFonts w:hint="eastAsia" w:ascii="宋体" w:hAnsi="宋体" w:eastAsia="宋体" w:cs="宋体"/>
          <w:sz w:val="21"/>
          <w:szCs w:val="21"/>
          <w:highlight w:val="none"/>
          <w:u w:val="single"/>
        </w:rPr>
      </w:pPr>
      <w:r>
        <w:rPr>
          <w:rFonts w:hint="eastAsia" w:ascii="宋体" w:hAnsi="宋体" w:eastAsia="宋体" w:cs="宋体"/>
          <w:sz w:val="21"/>
          <w:szCs w:val="21"/>
          <w:highlight w:val="none"/>
        </w:rPr>
        <w:t>协议单位：买方（简称买方）：南通市通州区水务有限公司</w:t>
      </w:r>
    </w:p>
    <w:p w14:paraId="1CF57DF7">
      <w:pPr>
        <w:keepNext w:val="0"/>
        <w:keepLines w:val="0"/>
        <w:pageBreakBefore w:val="0"/>
        <w:widowControl w:val="0"/>
        <w:kinsoku/>
        <w:wordWrap/>
        <w:overflowPunct/>
        <w:topLinePunct w:val="0"/>
        <w:autoSpaceDE/>
        <w:autoSpaceDN/>
        <w:bidi w:val="0"/>
        <w:adjustRightInd/>
        <w:snapToGrid/>
        <w:spacing w:line="290" w:lineRule="exact"/>
        <w:ind w:firstLine="1050" w:firstLineChars="500"/>
        <w:textAlignment w:val="auto"/>
        <w:rPr>
          <w:rFonts w:hint="eastAsia" w:ascii="宋体" w:hAnsi="宋体" w:eastAsia="宋体" w:cs="宋体"/>
          <w:sz w:val="21"/>
          <w:szCs w:val="21"/>
          <w:highlight w:val="none"/>
          <w:u w:val="single"/>
        </w:rPr>
      </w:pPr>
      <w:r>
        <w:rPr>
          <w:rFonts w:hint="eastAsia" w:ascii="宋体" w:hAnsi="宋体" w:eastAsia="宋体" w:cs="宋体"/>
          <w:sz w:val="21"/>
          <w:szCs w:val="21"/>
          <w:highlight w:val="none"/>
        </w:rPr>
        <w:t>卖方（简称卖方）：</w:t>
      </w:r>
    </w:p>
    <w:p w14:paraId="6EF75BBE">
      <w:pPr>
        <w:keepNext w:val="0"/>
        <w:keepLines w:val="0"/>
        <w:pageBreakBefore w:val="0"/>
        <w:widowControl w:val="0"/>
        <w:kinsoku/>
        <w:wordWrap/>
        <w:overflowPunct/>
        <w:topLinePunct w:val="0"/>
        <w:autoSpaceDE/>
        <w:autoSpaceDN/>
        <w:bidi w:val="0"/>
        <w:adjustRightInd/>
        <w:snapToGrid/>
        <w:spacing w:line="290" w:lineRule="exact"/>
        <w:ind w:firstLine="420" w:firstLineChars="20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为加强工程建设中的廉政建设，规范工程建设项目各方的各项活动，共同维护建设市场的秩序，确保工程质量。经协议各方协商，现就</w:t>
      </w:r>
      <w:r>
        <w:rPr>
          <w:rFonts w:hint="eastAsia" w:ascii="宋体" w:hAnsi="宋体" w:eastAsia="宋体" w:cs="宋体"/>
          <w:b w:val="0"/>
          <w:bCs/>
          <w:sz w:val="21"/>
          <w:szCs w:val="21"/>
          <w:highlight w:val="none"/>
          <w:lang w:val="en-US" w:eastAsia="zh-CN"/>
        </w:rPr>
        <w:t>0.4KV有源滤波器成套设备采购及安装</w:t>
      </w:r>
      <w:r>
        <w:rPr>
          <w:rFonts w:hint="eastAsia" w:ascii="宋体" w:hAnsi="宋体" w:eastAsia="宋体" w:cs="宋体"/>
          <w:sz w:val="21"/>
          <w:szCs w:val="21"/>
          <w:highlight w:val="none"/>
          <w:u w:val="single"/>
        </w:rPr>
        <w:t>项目</w:t>
      </w:r>
      <w:r>
        <w:rPr>
          <w:rFonts w:hint="eastAsia" w:ascii="宋体" w:hAnsi="宋体" w:eastAsia="宋体" w:cs="宋体"/>
          <w:sz w:val="21"/>
          <w:szCs w:val="21"/>
          <w:highlight w:val="none"/>
        </w:rPr>
        <w:t>自愿签订廉政协议：</w:t>
      </w:r>
    </w:p>
    <w:p w14:paraId="5B104BE8">
      <w:pPr>
        <w:keepNext w:val="0"/>
        <w:keepLines w:val="0"/>
        <w:pageBreakBefore w:val="0"/>
        <w:widowControl w:val="0"/>
        <w:kinsoku/>
        <w:wordWrap/>
        <w:overflowPunct/>
        <w:topLinePunct w:val="0"/>
        <w:autoSpaceDE/>
        <w:autoSpaceDN/>
        <w:bidi w:val="0"/>
        <w:adjustRightInd/>
        <w:snapToGrid/>
        <w:spacing w:line="290" w:lineRule="exact"/>
        <w:ind w:firstLine="420" w:firstLineChars="20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一、协议各方应当自觉遵守国家、省、市关于建设工程材料采购工作规则以及有关廉政建设的各项规定。</w:t>
      </w:r>
    </w:p>
    <w:p w14:paraId="7C9A7E23">
      <w:pPr>
        <w:keepNext w:val="0"/>
        <w:keepLines w:val="0"/>
        <w:pageBreakBefore w:val="0"/>
        <w:widowControl w:val="0"/>
        <w:kinsoku/>
        <w:wordWrap/>
        <w:overflowPunct/>
        <w:topLinePunct w:val="0"/>
        <w:autoSpaceDE/>
        <w:autoSpaceDN/>
        <w:bidi w:val="0"/>
        <w:adjustRightInd/>
        <w:snapToGrid/>
        <w:spacing w:line="290" w:lineRule="exact"/>
        <w:ind w:firstLine="420" w:firstLineChars="20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二、买方及其工作人员不得以任何形式向卖方索要和收受回扣等好处费。</w:t>
      </w:r>
    </w:p>
    <w:p w14:paraId="189AFE6D">
      <w:pPr>
        <w:keepNext w:val="0"/>
        <w:keepLines w:val="0"/>
        <w:pageBreakBefore w:val="0"/>
        <w:widowControl w:val="0"/>
        <w:kinsoku/>
        <w:wordWrap/>
        <w:overflowPunct/>
        <w:topLinePunct w:val="0"/>
        <w:autoSpaceDE/>
        <w:autoSpaceDN/>
        <w:bidi w:val="0"/>
        <w:adjustRightInd/>
        <w:snapToGrid/>
        <w:spacing w:line="290" w:lineRule="exact"/>
        <w:ind w:firstLine="420" w:firstLineChars="20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三、买方工作人员应保持与卖方的正常业务交往，不得接受卖方的礼金、有价证券和贵重物品，不得在卖方报销任何应当由个人支付的费用。</w:t>
      </w:r>
    </w:p>
    <w:p w14:paraId="499EA7BE">
      <w:pPr>
        <w:keepNext w:val="0"/>
        <w:keepLines w:val="0"/>
        <w:pageBreakBefore w:val="0"/>
        <w:widowControl w:val="0"/>
        <w:kinsoku/>
        <w:wordWrap/>
        <w:overflowPunct/>
        <w:topLinePunct w:val="0"/>
        <w:autoSpaceDE/>
        <w:autoSpaceDN/>
        <w:bidi w:val="0"/>
        <w:adjustRightInd/>
        <w:snapToGrid/>
        <w:spacing w:line="290" w:lineRule="exact"/>
        <w:ind w:firstLine="420" w:firstLineChars="20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四、买方人员不得参加可能对执行公务有影响的宴请和娱乐活动。</w:t>
      </w:r>
    </w:p>
    <w:p w14:paraId="6D3AE70F">
      <w:pPr>
        <w:keepNext w:val="0"/>
        <w:keepLines w:val="0"/>
        <w:pageBreakBefore w:val="0"/>
        <w:widowControl w:val="0"/>
        <w:kinsoku/>
        <w:wordWrap/>
        <w:overflowPunct/>
        <w:topLinePunct w:val="0"/>
        <w:autoSpaceDE/>
        <w:autoSpaceDN/>
        <w:bidi w:val="0"/>
        <w:adjustRightInd/>
        <w:snapToGrid/>
        <w:spacing w:line="290" w:lineRule="exact"/>
        <w:ind w:firstLine="420" w:firstLineChars="20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五、买方工作人员不得要求或者接受卖方为其住房装修、参与婚丧嫁娶、家属和子女的工作安排以及出国等提供方便。</w:t>
      </w:r>
    </w:p>
    <w:p w14:paraId="423AD9E0">
      <w:pPr>
        <w:keepNext w:val="0"/>
        <w:keepLines w:val="0"/>
        <w:pageBreakBefore w:val="0"/>
        <w:widowControl w:val="0"/>
        <w:kinsoku/>
        <w:wordWrap/>
        <w:overflowPunct/>
        <w:topLinePunct w:val="0"/>
        <w:autoSpaceDE/>
        <w:autoSpaceDN/>
        <w:bidi w:val="0"/>
        <w:adjustRightInd/>
        <w:snapToGrid/>
        <w:spacing w:line="290" w:lineRule="exact"/>
        <w:ind w:firstLine="420" w:firstLineChars="20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六、买方工作人员不得向卖方介绍家属或者亲友从事与买方工程有关的材料设备供应等经济活动。</w:t>
      </w:r>
    </w:p>
    <w:p w14:paraId="3CE6EF07">
      <w:pPr>
        <w:keepNext w:val="0"/>
        <w:keepLines w:val="0"/>
        <w:pageBreakBefore w:val="0"/>
        <w:widowControl w:val="0"/>
        <w:kinsoku/>
        <w:wordWrap/>
        <w:overflowPunct/>
        <w:topLinePunct w:val="0"/>
        <w:autoSpaceDE/>
        <w:autoSpaceDN/>
        <w:bidi w:val="0"/>
        <w:adjustRightInd/>
        <w:snapToGrid/>
        <w:spacing w:line="290" w:lineRule="exact"/>
        <w:ind w:firstLine="420" w:firstLineChars="20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七、卖方应当通过正常途径开展相关工作，不得为获取某些利益向买方工作人员赠送礼金、有价证券和贵重物品等。</w:t>
      </w:r>
    </w:p>
    <w:p w14:paraId="2833FBF8">
      <w:pPr>
        <w:keepNext w:val="0"/>
        <w:keepLines w:val="0"/>
        <w:pageBreakBefore w:val="0"/>
        <w:widowControl w:val="0"/>
        <w:kinsoku/>
        <w:wordWrap/>
        <w:overflowPunct/>
        <w:topLinePunct w:val="0"/>
        <w:autoSpaceDE/>
        <w:autoSpaceDN/>
        <w:bidi w:val="0"/>
        <w:adjustRightInd/>
        <w:snapToGrid/>
        <w:spacing w:line="290" w:lineRule="exact"/>
        <w:ind w:firstLine="420" w:firstLineChars="20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八、卖方不得为谋取利益擅自与买方工作人员就工程材料设备供应问题处理进行私下商谈或者达成默契。</w:t>
      </w:r>
    </w:p>
    <w:p w14:paraId="77D174AA">
      <w:pPr>
        <w:keepNext w:val="0"/>
        <w:keepLines w:val="0"/>
        <w:pageBreakBefore w:val="0"/>
        <w:widowControl w:val="0"/>
        <w:kinsoku/>
        <w:wordWrap/>
        <w:overflowPunct/>
        <w:topLinePunct w:val="0"/>
        <w:autoSpaceDE/>
        <w:autoSpaceDN/>
        <w:bidi w:val="0"/>
        <w:adjustRightInd/>
        <w:snapToGrid/>
        <w:spacing w:line="290" w:lineRule="exact"/>
        <w:ind w:firstLine="420" w:firstLineChars="20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九、卖方不得以洽谈业务、签订经济合同为借口，邀请买方工作人员外出旅游和进入营业性娱乐场所娱乐。</w:t>
      </w:r>
    </w:p>
    <w:p w14:paraId="00416CE0">
      <w:pPr>
        <w:keepNext w:val="0"/>
        <w:keepLines w:val="0"/>
        <w:pageBreakBefore w:val="0"/>
        <w:widowControl w:val="0"/>
        <w:kinsoku/>
        <w:wordWrap/>
        <w:overflowPunct/>
        <w:topLinePunct w:val="0"/>
        <w:autoSpaceDE/>
        <w:autoSpaceDN/>
        <w:bidi w:val="0"/>
        <w:adjustRightInd/>
        <w:snapToGrid/>
        <w:spacing w:line="290" w:lineRule="exact"/>
        <w:ind w:firstLine="420" w:firstLineChars="20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十、卖方不得为买方单位和个人购置或者提供通讯工具、交通工具、家电、高档办公用品等物品。</w:t>
      </w:r>
    </w:p>
    <w:p w14:paraId="0E332BB8">
      <w:pPr>
        <w:keepNext w:val="0"/>
        <w:keepLines w:val="0"/>
        <w:pageBreakBefore w:val="0"/>
        <w:widowControl w:val="0"/>
        <w:kinsoku/>
        <w:wordWrap/>
        <w:overflowPunct/>
        <w:topLinePunct w:val="0"/>
        <w:autoSpaceDE/>
        <w:autoSpaceDN/>
        <w:bidi w:val="0"/>
        <w:adjustRightInd/>
        <w:snapToGrid/>
        <w:spacing w:line="290" w:lineRule="exact"/>
        <w:ind w:firstLine="420" w:firstLineChars="20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十一、卖方如发现买方工作人员有违反上述协议者，应向买方领导或者买方上级单位举报。买方不得找任何借口对卖方进行报复。</w:t>
      </w:r>
    </w:p>
    <w:p w14:paraId="05F71E74">
      <w:pPr>
        <w:keepNext w:val="0"/>
        <w:keepLines w:val="0"/>
        <w:pageBreakBefore w:val="0"/>
        <w:widowControl w:val="0"/>
        <w:kinsoku/>
        <w:wordWrap/>
        <w:overflowPunct/>
        <w:topLinePunct w:val="0"/>
        <w:autoSpaceDE/>
        <w:autoSpaceDN/>
        <w:bidi w:val="0"/>
        <w:adjustRightInd/>
        <w:snapToGrid/>
        <w:spacing w:line="290" w:lineRule="exact"/>
        <w:ind w:firstLine="420" w:firstLineChars="20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十二、买方发现卖方有违反本协议或者采取不正当的手段行贿买方工作人员，买方根据具体情节和造成的后果有权按合同价款的1%追究卖方的违约金。由此给买方单位造成的损失均由卖方承担，卖方用不正当手段获取的非法所得由买方单位予以追缴。</w:t>
      </w:r>
    </w:p>
    <w:p w14:paraId="51F7E6C8">
      <w:pPr>
        <w:keepNext w:val="0"/>
        <w:keepLines w:val="0"/>
        <w:pageBreakBefore w:val="0"/>
        <w:widowControl w:val="0"/>
        <w:kinsoku/>
        <w:wordWrap/>
        <w:overflowPunct/>
        <w:topLinePunct w:val="0"/>
        <w:autoSpaceDE/>
        <w:autoSpaceDN/>
        <w:bidi w:val="0"/>
        <w:adjustRightInd/>
        <w:snapToGrid/>
        <w:spacing w:line="290" w:lineRule="exact"/>
        <w:ind w:firstLine="420" w:firstLineChars="20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十三、本廉政合同作为 合同书的附件，与合同书具有同等法律效力，经协议双方签署后立即生效。</w:t>
      </w:r>
    </w:p>
    <w:p w14:paraId="3CF5F91F">
      <w:pPr>
        <w:keepNext w:val="0"/>
        <w:keepLines w:val="0"/>
        <w:pageBreakBefore w:val="0"/>
        <w:widowControl w:val="0"/>
        <w:kinsoku/>
        <w:wordWrap/>
        <w:overflowPunct/>
        <w:topLinePunct w:val="0"/>
        <w:autoSpaceDE/>
        <w:autoSpaceDN/>
        <w:bidi w:val="0"/>
        <w:adjustRightInd/>
        <w:snapToGrid/>
        <w:spacing w:line="290" w:lineRule="exact"/>
        <w:ind w:firstLine="420" w:firstLineChars="20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十四、本合同一式肆份，双方各执贰份。</w:t>
      </w:r>
    </w:p>
    <w:p w14:paraId="7952F83C">
      <w:pPr>
        <w:keepNext w:val="0"/>
        <w:keepLines w:val="0"/>
        <w:pageBreakBefore w:val="0"/>
        <w:widowControl w:val="0"/>
        <w:kinsoku/>
        <w:wordWrap/>
        <w:overflowPunct/>
        <w:topLinePunct w:val="0"/>
        <w:autoSpaceDE/>
        <w:autoSpaceDN/>
        <w:bidi w:val="0"/>
        <w:adjustRightInd/>
        <w:snapToGrid/>
        <w:spacing w:line="290" w:lineRule="exact"/>
        <w:ind w:firstLine="420" w:firstLineChars="200"/>
        <w:textAlignment w:val="auto"/>
        <w:rPr>
          <w:rFonts w:hint="eastAsia" w:ascii="宋体" w:hAnsi="宋体" w:eastAsia="宋体" w:cs="宋体"/>
          <w:sz w:val="21"/>
          <w:szCs w:val="21"/>
          <w:highlight w:val="none"/>
        </w:rPr>
      </w:pPr>
    </w:p>
    <w:p w14:paraId="265446EC">
      <w:pPr>
        <w:spacing w:line="480" w:lineRule="auto"/>
        <w:rPr>
          <w:rFonts w:hint="eastAsia" w:ascii="Calibri" w:hAnsi="Calibri"/>
          <w:sz w:val="24"/>
          <w:szCs w:val="24"/>
          <w:lang w:val="en-US" w:eastAsia="zh-CN"/>
        </w:rPr>
      </w:pPr>
      <w:r>
        <w:rPr>
          <w:rFonts w:hint="eastAsia" w:ascii="Calibri" w:hAnsi="Calibri"/>
          <w:sz w:val="24"/>
          <w:szCs w:val="24"/>
          <w:lang w:val="en-US" w:eastAsia="zh-CN"/>
        </w:rPr>
        <w:t>甲方单位：（盖章）                        乙方单位：（盖章）</w:t>
      </w:r>
    </w:p>
    <w:p w14:paraId="45939B0D">
      <w:pPr>
        <w:spacing w:line="480" w:lineRule="auto"/>
        <w:rPr>
          <w:rFonts w:hint="default" w:ascii="Calibri" w:hAnsi="Calibri"/>
          <w:sz w:val="24"/>
          <w:szCs w:val="24"/>
          <w:lang w:val="en-US" w:eastAsia="zh-CN"/>
        </w:rPr>
      </w:pPr>
      <w:r>
        <w:rPr>
          <w:rFonts w:hint="eastAsia" w:ascii="Calibri" w:hAnsi="Calibri"/>
          <w:sz w:val="24"/>
          <w:szCs w:val="24"/>
          <w:lang w:val="en-US" w:eastAsia="zh-CN"/>
        </w:rPr>
        <w:t>地址：                                    地址：</w:t>
      </w:r>
    </w:p>
    <w:p w14:paraId="2C750C00">
      <w:pPr>
        <w:spacing w:line="480" w:lineRule="auto"/>
        <w:rPr>
          <w:rFonts w:hint="eastAsia" w:ascii="Calibri" w:hAnsi="Calibri"/>
          <w:sz w:val="24"/>
          <w:szCs w:val="24"/>
          <w:lang w:val="en-US" w:eastAsia="zh-CN"/>
        </w:rPr>
      </w:pPr>
      <w:r>
        <w:rPr>
          <w:rFonts w:hint="eastAsia" w:ascii="Calibri" w:hAnsi="Calibri"/>
          <w:sz w:val="24"/>
          <w:szCs w:val="24"/>
          <w:lang w:val="en-US" w:eastAsia="zh-CN"/>
        </w:rPr>
        <w:t>法定代表人：                              法定代表人：</w:t>
      </w:r>
    </w:p>
    <w:p w14:paraId="6E7B8241">
      <w:pPr>
        <w:spacing w:line="480" w:lineRule="auto"/>
        <w:rPr>
          <w:rFonts w:hint="eastAsia" w:ascii="Calibri" w:hAnsi="Calibri"/>
          <w:sz w:val="24"/>
          <w:szCs w:val="24"/>
          <w:lang w:val="en-US" w:eastAsia="zh-CN"/>
        </w:rPr>
      </w:pPr>
      <w:r>
        <w:rPr>
          <w:rFonts w:hint="eastAsia" w:ascii="Calibri" w:hAnsi="Calibri"/>
          <w:sz w:val="24"/>
          <w:szCs w:val="24"/>
          <w:lang w:val="en-US" w:eastAsia="zh-CN"/>
        </w:rPr>
        <w:t>法定代表人身份证号：                      法定代表人身份证号：</w:t>
      </w:r>
    </w:p>
    <w:p w14:paraId="38EE06F5">
      <w:pPr>
        <w:spacing w:line="480" w:lineRule="auto"/>
        <w:rPr>
          <w:rFonts w:hint="default" w:ascii="Calibri" w:hAnsi="Calibri"/>
          <w:sz w:val="24"/>
          <w:szCs w:val="24"/>
          <w:lang w:val="en-US" w:eastAsia="zh-CN"/>
        </w:rPr>
      </w:pPr>
      <w:r>
        <w:rPr>
          <w:rFonts w:hint="eastAsia" w:ascii="Calibri" w:hAnsi="Calibri"/>
          <w:sz w:val="24"/>
          <w:szCs w:val="24"/>
          <w:lang w:val="en-US" w:eastAsia="zh-CN"/>
        </w:rPr>
        <w:t>委托代理人：                              委托代理人：</w:t>
      </w:r>
    </w:p>
    <w:p w14:paraId="7BA1C09B">
      <w:pPr>
        <w:spacing w:line="480" w:lineRule="auto"/>
        <w:rPr>
          <w:rFonts w:hint="eastAsia" w:ascii="Calibri" w:hAnsi="Calibri"/>
          <w:sz w:val="24"/>
          <w:szCs w:val="24"/>
          <w:lang w:val="en-US" w:eastAsia="zh-CN"/>
        </w:rPr>
      </w:pPr>
      <w:r>
        <w:rPr>
          <w:rFonts w:hint="eastAsia" w:ascii="Calibri" w:hAnsi="Calibri"/>
          <w:sz w:val="24"/>
          <w:szCs w:val="24"/>
          <w:lang w:val="en-US" w:eastAsia="zh-CN"/>
        </w:rPr>
        <w:t>联系方式：                                联系方式：</w:t>
      </w:r>
    </w:p>
    <w:p w14:paraId="6856E322">
      <w:pPr>
        <w:spacing w:line="480" w:lineRule="auto"/>
        <w:rPr>
          <w:rFonts w:hint="eastAsia" w:ascii="Calibri" w:hAnsi="Calibri"/>
          <w:sz w:val="24"/>
          <w:szCs w:val="24"/>
          <w:lang w:val="en-US" w:eastAsia="zh-CN"/>
        </w:rPr>
      </w:pPr>
      <w:r>
        <w:rPr>
          <w:rFonts w:hint="eastAsia" w:ascii="Calibri" w:hAnsi="Calibri"/>
          <w:sz w:val="24"/>
          <w:szCs w:val="24"/>
          <w:lang w:val="en-US" w:eastAsia="zh-CN"/>
        </w:rPr>
        <w:t>签订地点：</w:t>
      </w:r>
    </w:p>
    <w:p w14:paraId="7D5DB621">
      <w:pPr>
        <w:pageBreakBefore w:val="0"/>
        <w:kinsoku/>
        <w:wordWrap/>
        <w:topLinePunct w:val="0"/>
        <w:bidi w:val="0"/>
        <w:spacing w:line="400" w:lineRule="exact"/>
        <w:rPr>
          <w:rFonts w:hint="eastAsia" w:ascii="宋体" w:hAnsi="宋体" w:eastAsia="宋体" w:cs="宋体"/>
          <w:b/>
          <w:bCs/>
          <w:color w:val="000000"/>
          <w:kern w:val="0"/>
          <w:sz w:val="36"/>
          <w:szCs w:val="36"/>
          <w:highlight w:val="none"/>
        </w:rPr>
      </w:pPr>
      <w:r>
        <w:rPr>
          <w:rFonts w:hint="eastAsia" w:ascii="宋体" w:hAnsi="宋体" w:eastAsia="宋体" w:cs="宋体"/>
          <w:b/>
          <w:bCs/>
          <w:color w:val="000000"/>
          <w:kern w:val="0"/>
          <w:sz w:val="36"/>
          <w:szCs w:val="36"/>
          <w:highlight w:val="none"/>
        </w:rPr>
        <w:t>合同附件：</w:t>
      </w:r>
    </w:p>
    <w:p w14:paraId="2AEB3387">
      <w:pPr>
        <w:pageBreakBefore w:val="0"/>
        <w:kinsoku/>
        <w:wordWrap/>
        <w:topLinePunct w:val="0"/>
        <w:bidi w:val="0"/>
        <w:spacing w:line="400" w:lineRule="exact"/>
        <w:jc w:val="center"/>
        <w:rPr>
          <w:rFonts w:hint="eastAsia" w:ascii="宋体" w:hAnsi="宋体" w:eastAsia="宋体" w:cs="宋体"/>
          <w:b/>
          <w:bCs/>
          <w:color w:val="000000"/>
          <w:kern w:val="0"/>
          <w:sz w:val="32"/>
          <w:szCs w:val="32"/>
          <w:highlight w:val="none"/>
          <w:lang w:val="en-US" w:eastAsia="zh-CN"/>
        </w:rPr>
      </w:pPr>
      <w:r>
        <w:rPr>
          <w:rFonts w:hint="eastAsia" w:ascii="宋体" w:hAnsi="宋体" w:eastAsia="宋体" w:cs="宋体"/>
          <w:b/>
          <w:bCs/>
          <w:color w:val="000000"/>
          <w:kern w:val="0"/>
          <w:sz w:val="32"/>
          <w:szCs w:val="32"/>
          <w:highlight w:val="none"/>
          <w:lang w:val="en-US" w:eastAsia="zh-CN"/>
        </w:rPr>
        <w:t>采购清单</w:t>
      </w:r>
    </w:p>
    <w:p w14:paraId="3451A6F3">
      <w:pPr>
        <w:pageBreakBefore w:val="0"/>
        <w:kinsoku/>
        <w:wordWrap/>
        <w:topLinePunct w:val="0"/>
        <w:bidi w:val="0"/>
        <w:spacing w:line="400" w:lineRule="exact"/>
        <w:jc w:val="center"/>
        <w:rPr>
          <w:rFonts w:hint="eastAsia" w:ascii="宋体" w:hAnsi="宋体" w:eastAsia="宋体" w:cs="宋体"/>
          <w:b/>
          <w:bCs/>
          <w:sz w:val="32"/>
          <w:szCs w:val="32"/>
          <w:highlight w:val="none"/>
        </w:rPr>
      </w:pPr>
      <w:r>
        <w:rPr>
          <w:rFonts w:hint="eastAsia" w:ascii="宋体" w:hAnsi="宋体" w:eastAsia="宋体" w:cs="宋体"/>
          <w:b/>
          <w:bCs/>
          <w:sz w:val="32"/>
          <w:szCs w:val="32"/>
          <w:highlight w:val="none"/>
          <w:lang w:val="en-US" w:eastAsia="zh-CN"/>
        </w:rPr>
        <w:t>0.4KV</w:t>
      </w:r>
      <w:r>
        <w:rPr>
          <w:rFonts w:hint="eastAsia" w:ascii="宋体" w:hAnsi="宋体" w:eastAsia="宋体" w:cs="宋体"/>
          <w:b/>
          <w:bCs/>
          <w:sz w:val="32"/>
          <w:szCs w:val="32"/>
          <w:highlight w:val="none"/>
        </w:rPr>
        <w:t>有源滤波</w:t>
      </w:r>
      <w:r>
        <w:rPr>
          <w:rFonts w:hint="eastAsia" w:ascii="宋体" w:hAnsi="宋体" w:eastAsia="宋体" w:cs="宋体"/>
          <w:b/>
          <w:bCs/>
          <w:sz w:val="32"/>
          <w:szCs w:val="32"/>
          <w:highlight w:val="none"/>
          <w:lang w:val="en-US" w:eastAsia="zh-CN"/>
        </w:rPr>
        <w:t>模块</w:t>
      </w:r>
      <w:r>
        <w:rPr>
          <w:rFonts w:hint="eastAsia" w:ascii="宋体" w:hAnsi="宋体" w:eastAsia="宋体" w:cs="宋体"/>
          <w:b/>
          <w:bCs/>
          <w:sz w:val="32"/>
          <w:szCs w:val="32"/>
          <w:highlight w:val="none"/>
        </w:rPr>
        <w:t>及与之配套的材料及安装调试</w:t>
      </w:r>
    </w:p>
    <w:p w14:paraId="69B71014">
      <w:pPr>
        <w:pageBreakBefore w:val="0"/>
        <w:kinsoku/>
        <w:wordWrap/>
        <w:topLinePunct w:val="0"/>
        <w:bidi w:val="0"/>
        <w:spacing w:line="400" w:lineRule="exact"/>
        <w:jc w:val="center"/>
        <w:rPr>
          <w:rFonts w:hint="eastAsia" w:ascii="宋体" w:hAnsi="宋体" w:eastAsia="宋体" w:cs="宋体"/>
          <w:b/>
          <w:bCs/>
          <w:sz w:val="32"/>
          <w:szCs w:val="32"/>
          <w:highlight w:val="none"/>
        </w:rPr>
      </w:pPr>
      <w:r>
        <w:rPr>
          <w:rFonts w:hint="eastAsia" w:ascii="宋体" w:hAnsi="宋体" w:eastAsia="宋体" w:cs="宋体"/>
          <w:b/>
          <w:bCs/>
          <w:sz w:val="32"/>
          <w:szCs w:val="32"/>
          <w:highlight w:val="none"/>
        </w:rPr>
        <w:t>主要材料及施工内容</w:t>
      </w:r>
    </w:p>
    <w:p w14:paraId="549BFC3C">
      <w:pPr>
        <w:keepNext w:val="0"/>
        <w:keepLines w:val="0"/>
        <w:pageBreakBefore w:val="0"/>
        <w:widowControl w:val="0"/>
        <w:kinsoku/>
        <w:wordWrap/>
        <w:overflowPunct/>
        <w:topLinePunct w:val="0"/>
        <w:autoSpaceDE/>
        <w:autoSpaceDN/>
        <w:bidi w:val="0"/>
        <w:adjustRightInd/>
        <w:snapToGrid/>
        <w:spacing w:before="157" w:beforeLines="50" w:line="400" w:lineRule="exact"/>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一、</w:t>
      </w:r>
      <w:r>
        <w:rPr>
          <w:rFonts w:hint="eastAsia" w:ascii="宋体" w:hAnsi="宋体" w:eastAsia="宋体" w:cs="宋体"/>
          <w:b/>
          <w:bCs/>
          <w:sz w:val="24"/>
          <w:szCs w:val="24"/>
          <w:highlight w:val="none"/>
          <w:lang w:val="en-US" w:eastAsia="zh-CN"/>
        </w:rPr>
        <w:t>施工</w:t>
      </w:r>
      <w:r>
        <w:rPr>
          <w:rFonts w:hint="eastAsia" w:ascii="宋体" w:hAnsi="宋体" w:eastAsia="宋体" w:cs="宋体"/>
          <w:b/>
          <w:bCs/>
          <w:sz w:val="24"/>
          <w:szCs w:val="24"/>
          <w:highlight w:val="none"/>
        </w:rPr>
        <w:t>清单明细</w:t>
      </w:r>
    </w:p>
    <w:tbl>
      <w:tblPr>
        <w:tblStyle w:val="26"/>
        <w:tblpPr w:leftFromText="180" w:rightFromText="180" w:vertAnchor="text" w:horzAnchor="margin" w:tblpY="218"/>
        <w:tblW w:w="97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2"/>
        <w:gridCol w:w="1945"/>
        <w:gridCol w:w="864"/>
        <w:gridCol w:w="703"/>
        <w:gridCol w:w="4213"/>
      </w:tblGrid>
      <w:tr w14:paraId="60715D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2" w:type="dxa"/>
            <w:noWrap w:val="0"/>
            <w:vAlign w:val="top"/>
          </w:tcPr>
          <w:p w14:paraId="3CD9460F">
            <w:pPr>
              <w:pStyle w:val="56"/>
              <w:pageBreakBefore w:val="0"/>
              <w:kinsoku/>
              <w:wordWrap/>
              <w:topLinePunct w:val="0"/>
              <w:bidi w:val="0"/>
              <w:spacing w:line="400" w:lineRule="exact"/>
              <w:ind w:firstLine="0" w:firstLineChars="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主要元件名称</w:t>
            </w:r>
          </w:p>
        </w:tc>
        <w:tc>
          <w:tcPr>
            <w:tcW w:w="1945" w:type="dxa"/>
            <w:noWrap w:val="0"/>
            <w:vAlign w:val="top"/>
          </w:tcPr>
          <w:p w14:paraId="1B62D3C8">
            <w:pPr>
              <w:pStyle w:val="56"/>
              <w:pageBreakBefore w:val="0"/>
              <w:kinsoku/>
              <w:wordWrap/>
              <w:topLinePunct w:val="0"/>
              <w:bidi w:val="0"/>
              <w:spacing w:line="400" w:lineRule="exact"/>
              <w:ind w:firstLine="0" w:firstLineChars="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型号/规格</w:t>
            </w:r>
          </w:p>
        </w:tc>
        <w:tc>
          <w:tcPr>
            <w:tcW w:w="864" w:type="dxa"/>
            <w:noWrap w:val="0"/>
            <w:vAlign w:val="top"/>
          </w:tcPr>
          <w:p w14:paraId="698EDD0E">
            <w:pPr>
              <w:pStyle w:val="56"/>
              <w:pageBreakBefore w:val="0"/>
              <w:kinsoku/>
              <w:wordWrap/>
              <w:topLinePunct w:val="0"/>
              <w:bidi w:val="0"/>
              <w:spacing w:line="400" w:lineRule="exact"/>
              <w:ind w:firstLine="0" w:firstLineChars="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单位</w:t>
            </w:r>
          </w:p>
        </w:tc>
        <w:tc>
          <w:tcPr>
            <w:tcW w:w="703" w:type="dxa"/>
            <w:noWrap w:val="0"/>
            <w:vAlign w:val="top"/>
          </w:tcPr>
          <w:p w14:paraId="49F3DC51">
            <w:pPr>
              <w:pStyle w:val="56"/>
              <w:pageBreakBefore w:val="0"/>
              <w:kinsoku/>
              <w:wordWrap/>
              <w:topLinePunct w:val="0"/>
              <w:bidi w:val="0"/>
              <w:spacing w:line="400" w:lineRule="exact"/>
              <w:ind w:firstLine="0" w:firstLineChars="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数量</w:t>
            </w:r>
          </w:p>
        </w:tc>
        <w:tc>
          <w:tcPr>
            <w:tcW w:w="4213" w:type="dxa"/>
            <w:noWrap w:val="0"/>
            <w:vAlign w:val="top"/>
          </w:tcPr>
          <w:p w14:paraId="4A7AEB7D">
            <w:pPr>
              <w:pStyle w:val="56"/>
              <w:pageBreakBefore w:val="0"/>
              <w:kinsoku/>
              <w:wordWrap/>
              <w:topLinePunct w:val="0"/>
              <w:bidi w:val="0"/>
              <w:spacing w:line="400" w:lineRule="exact"/>
              <w:ind w:firstLine="0" w:firstLineChars="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品牌要求</w:t>
            </w:r>
          </w:p>
        </w:tc>
      </w:tr>
      <w:tr w14:paraId="52804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2" w:type="dxa"/>
            <w:noWrap w:val="0"/>
            <w:vAlign w:val="top"/>
          </w:tcPr>
          <w:p w14:paraId="34B6A9F8">
            <w:pPr>
              <w:pStyle w:val="56"/>
              <w:pageBreakBefore w:val="0"/>
              <w:kinsoku/>
              <w:wordWrap/>
              <w:topLinePunct w:val="0"/>
              <w:bidi w:val="0"/>
              <w:spacing w:line="400" w:lineRule="exact"/>
              <w:ind w:firstLine="0" w:firstLineChars="0"/>
              <w:jc w:val="center"/>
              <w:rPr>
                <w:rFonts w:hint="eastAsia" w:ascii="宋体" w:hAnsi="宋体" w:eastAsia="宋体" w:cs="宋体"/>
                <w:sz w:val="24"/>
                <w:szCs w:val="24"/>
                <w:highlight w:val="none"/>
              </w:rPr>
            </w:pPr>
            <w:r>
              <w:rPr>
                <w:rFonts w:hint="eastAsia" w:ascii="宋体" w:hAnsi="宋体" w:eastAsia="宋体" w:cs="宋体"/>
                <w:color w:val="000000"/>
                <w:kern w:val="0"/>
                <w:sz w:val="24"/>
                <w:szCs w:val="24"/>
                <w:highlight w:val="none"/>
              </w:rPr>
              <w:t>有源滤波器模块</w:t>
            </w:r>
          </w:p>
        </w:tc>
        <w:tc>
          <w:tcPr>
            <w:tcW w:w="1945" w:type="dxa"/>
            <w:noWrap w:val="0"/>
            <w:vAlign w:val="top"/>
          </w:tcPr>
          <w:p w14:paraId="44D87568">
            <w:pPr>
              <w:pStyle w:val="56"/>
              <w:pageBreakBefore w:val="0"/>
              <w:kinsoku/>
              <w:wordWrap/>
              <w:topLinePunct w:val="0"/>
              <w:bidi w:val="0"/>
              <w:spacing w:line="400" w:lineRule="exact"/>
              <w:ind w:firstLine="0" w:firstLineChars="0"/>
              <w:jc w:val="center"/>
              <w:rPr>
                <w:rFonts w:hint="eastAsia" w:ascii="宋体" w:hAnsi="宋体" w:eastAsia="宋体" w:cs="宋体"/>
                <w:sz w:val="24"/>
                <w:szCs w:val="24"/>
                <w:highlight w:val="none"/>
              </w:rPr>
            </w:pPr>
            <w:r>
              <w:rPr>
                <w:rFonts w:hint="eastAsia" w:ascii="宋体" w:hAnsi="宋体" w:eastAsia="宋体" w:cs="宋体"/>
                <w:color w:val="000000"/>
                <w:sz w:val="24"/>
                <w:szCs w:val="24"/>
                <w:highlight w:val="none"/>
              </w:rPr>
              <w:t>150A/400V/4L</w:t>
            </w:r>
          </w:p>
        </w:tc>
        <w:tc>
          <w:tcPr>
            <w:tcW w:w="864" w:type="dxa"/>
            <w:noWrap w:val="0"/>
            <w:vAlign w:val="top"/>
          </w:tcPr>
          <w:p w14:paraId="26D728A1">
            <w:pPr>
              <w:pStyle w:val="56"/>
              <w:pageBreakBefore w:val="0"/>
              <w:kinsoku/>
              <w:wordWrap/>
              <w:topLinePunct w:val="0"/>
              <w:bidi w:val="0"/>
              <w:spacing w:line="400" w:lineRule="exact"/>
              <w:ind w:firstLine="0" w:firstLineChars="0"/>
              <w:jc w:val="center"/>
              <w:rPr>
                <w:rFonts w:hint="eastAsia" w:ascii="宋体" w:hAnsi="宋体" w:eastAsia="宋体" w:cs="宋体"/>
                <w:sz w:val="24"/>
                <w:szCs w:val="24"/>
                <w:highlight w:val="none"/>
              </w:rPr>
            </w:pPr>
            <w:r>
              <w:rPr>
                <w:rFonts w:hint="eastAsia" w:ascii="宋体" w:hAnsi="宋体" w:eastAsia="宋体" w:cs="宋体"/>
                <w:color w:val="000000"/>
                <w:sz w:val="24"/>
                <w:szCs w:val="24"/>
                <w:highlight w:val="none"/>
              </w:rPr>
              <w:t>只</w:t>
            </w:r>
          </w:p>
        </w:tc>
        <w:tc>
          <w:tcPr>
            <w:tcW w:w="703" w:type="dxa"/>
            <w:noWrap w:val="0"/>
            <w:vAlign w:val="top"/>
          </w:tcPr>
          <w:p w14:paraId="75C35173">
            <w:pPr>
              <w:pStyle w:val="56"/>
              <w:pageBreakBefore w:val="0"/>
              <w:kinsoku/>
              <w:wordWrap/>
              <w:topLinePunct w:val="0"/>
              <w:bidi w:val="0"/>
              <w:spacing w:line="400" w:lineRule="exact"/>
              <w:ind w:firstLine="0" w:firstLineChars="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2</w:t>
            </w:r>
          </w:p>
        </w:tc>
        <w:tc>
          <w:tcPr>
            <w:tcW w:w="4213" w:type="dxa"/>
            <w:noWrap w:val="0"/>
            <w:vAlign w:val="top"/>
          </w:tcPr>
          <w:p w14:paraId="68CA6495">
            <w:pPr>
              <w:pStyle w:val="56"/>
              <w:pageBreakBefore w:val="0"/>
              <w:kinsoku/>
              <w:wordWrap/>
              <w:topLinePunct w:val="0"/>
              <w:bidi w:val="0"/>
              <w:spacing w:line="400" w:lineRule="exact"/>
              <w:ind w:firstLine="0" w:firstLineChars="0"/>
              <w:jc w:val="center"/>
              <w:rPr>
                <w:rFonts w:hint="eastAsia" w:ascii="宋体" w:hAnsi="宋体" w:eastAsia="宋体" w:cs="宋体"/>
                <w:color w:val="FF0000"/>
                <w:sz w:val="24"/>
                <w:szCs w:val="24"/>
                <w:highlight w:val="none"/>
                <w:lang w:val="en-US" w:eastAsia="zh-CN"/>
              </w:rPr>
            </w:pPr>
            <w:r>
              <w:rPr>
                <w:rFonts w:hint="eastAsia" w:ascii="宋体" w:hAnsi="宋体" w:eastAsia="宋体" w:cs="宋体"/>
                <w:color w:val="auto"/>
                <w:sz w:val="24"/>
                <w:szCs w:val="24"/>
                <w:highlight w:val="none"/>
                <w:lang w:val="en-US" w:eastAsia="zh-CN"/>
              </w:rPr>
              <w:t>符合技术第5点、第6点、第七点要求</w:t>
            </w:r>
          </w:p>
        </w:tc>
      </w:tr>
      <w:tr w14:paraId="165C8A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2" w:type="dxa"/>
            <w:noWrap w:val="0"/>
            <w:vAlign w:val="top"/>
          </w:tcPr>
          <w:p w14:paraId="63573B70">
            <w:pPr>
              <w:pStyle w:val="56"/>
              <w:pageBreakBefore w:val="0"/>
              <w:kinsoku/>
              <w:wordWrap/>
              <w:topLinePunct w:val="0"/>
              <w:bidi w:val="0"/>
              <w:spacing w:line="400" w:lineRule="exact"/>
              <w:ind w:firstLine="0" w:firstLineChars="0"/>
              <w:jc w:val="center"/>
              <w:rPr>
                <w:rFonts w:hint="eastAsia" w:ascii="宋体" w:hAnsi="宋体" w:eastAsia="宋体" w:cs="宋体"/>
                <w:sz w:val="24"/>
                <w:szCs w:val="24"/>
                <w:highlight w:val="none"/>
              </w:rPr>
            </w:pPr>
            <w:r>
              <w:rPr>
                <w:rFonts w:hint="eastAsia" w:ascii="宋体" w:hAnsi="宋体" w:eastAsia="宋体" w:cs="宋体"/>
                <w:color w:val="000000"/>
                <w:kern w:val="0"/>
                <w:sz w:val="24"/>
                <w:szCs w:val="24"/>
                <w:highlight w:val="none"/>
              </w:rPr>
              <w:t>控制屏</w:t>
            </w:r>
          </w:p>
        </w:tc>
        <w:tc>
          <w:tcPr>
            <w:tcW w:w="1945" w:type="dxa"/>
            <w:noWrap w:val="0"/>
            <w:vAlign w:val="top"/>
          </w:tcPr>
          <w:p w14:paraId="5C2E0137">
            <w:pPr>
              <w:pStyle w:val="56"/>
              <w:pageBreakBefore w:val="0"/>
              <w:kinsoku/>
              <w:wordWrap/>
              <w:topLinePunct w:val="0"/>
              <w:bidi w:val="0"/>
              <w:spacing w:line="400" w:lineRule="exact"/>
              <w:ind w:firstLine="0" w:firstLineChars="0"/>
              <w:jc w:val="center"/>
              <w:rPr>
                <w:rFonts w:hint="eastAsia" w:ascii="宋体" w:hAnsi="宋体" w:eastAsia="宋体" w:cs="宋体"/>
                <w:sz w:val="24"/>
                <w:szCs w:val="24"/>
                <w:highlight w:val="none"/>
              </w:rPr>
            </w:pPr>
            <w:r>
              <w:rPr>
                <w:rFonts w:hint="eastAsia" w:ascii="宋体" w:hAnsi="宋体" w:eastAsia="宋体" w:cs="宋体"/>
                <w:color w:val="000000"/>
                <w:kern w:val="0"/>
                <w:sz w:val="24"/>
                <w:szCs w:val="24"/>
                <w:highlight w:val="none"/>
              </w:rPr>
              <w:t>11寸 彩屏</w:t>
            </w:r>
          </w:p>
        </w:tc>
        <w:tc>
          <w:tcPr>
            <w:tcW w:w="864" w:type="dxa"/>
            <w:noWrap w:val="0"/>
            <w:vAlign w:val="top"/>
          </w:tcPr>
          <w:p w14:paraId="1CB8C3E3">
            <w:pPr>
              <w:pStyle w:val="56"/>
              <w:pageBreakBefore w:val="0"/>
              <w:kinsoku/>
              <w:wordWrap/>
              <w:topLinePunct w:val="0"/>
              <w:bidi w:val="0"/>
              <w:spacing w:line="400" w:lineRule="exact"/>
              <w:ind w:firstLine="0" w:firstLineChars="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只</w:t>
            </w:r>
          </w:p>
        </w:tc>
        <w:tc>
          <w:tcPr>
            <w:tcW w:w="703" w:type="dxa"/>
            <w:noWrap w:val="0"/>
            <w:vAlign w:val="top"/>
          </w:tcPr>
          <w:p w14:paraId="141167E2">
            <w:pPr>
              <w:pStyle w:val="56"/>
              <w:pageBreakBefore w:val="0"/>
              <w:kinsoku/>
              <w:wordWrap/>
              <w:topLinePunct w:val="0"/>
              <w:bidi w:val="0"/>
              <w:spacing w:line="400" w:lineRule="exact"/>
              <w:ind w:firstLine="0" w:firstLineChars="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1</w:t>
            </w:r>
          </w:p>
        </w:tc>
        <w:tc>
          <w:tcPr>
            <w:tcW w:w="4213" w:type="dxa"/>
            <w:noWrap w:val="0"/>
            <w:vAlign w:val="top"/>
          </w:tcPr>
          <w:p w14:paraId="103DC841">
            <w:pPr>
              <w:pStyle w:val="56"/>
              <w:pageBreakBefore w:val="0"/>
              <w:kinsoku/>
              <w:wordWrap/>
              <w:topLinePunct w:val="0"/>
              <w:bidi w:val="0"/>
              <w:spacing w:line="400" w:lineRule="exact"/>
              <w:ind w:firstLine="0" w:firstLineChars="0"/>
              <w:jc w:val="center"/>
              <w:rPr>
                <w:rFonts w:hint="eastAsia" w:ascii="宋体" w:hAnsi="宋体" w:eastAsia="宋体" w:cs="宋体"/>
                <w:color w:val="FF0000"/>
                <w:sz w:val="24"/>
                <w:szCs w:val="24"/>
                <w:highlight w:val="none"/>
              </w:rPr>
            </w:pPr>
            <w:r>
              <w:rPr>
                <w:rFonts w:hint="eastAsia" w:ascii="宋体" w:hAnsi="宋体" w:eastAsia="宋体" w:cs="宋体"/>
                <w:color w:val="auto"/>
                <w:sz w:val="24"/>
                <w:szCs w:val="24"/>
                <w:highlight w:val="none"/>
              </w:rPr>
              <w:t>昆仑通态、和利时、台达</w:t>
            </w:r>
          </w:p>
        </w:tc>
      </w:tr>
      <w:tr w14:paraId="0B81FC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8" w:hRule="atLeast"/>
        </w:trPr>
        <w:tc>
          <w:tcPr>
            <w:tcW w:w="2072" w:type="dxa"/>
            <w:noWrap w:val="0"/>
            <w:vAlign w:val="top"/>
          </w:tcPr>
          <w:p w14:paraId="5ECD954C">
            <w:pPr>
              <w:pStyle w:val="56"/>
              <w:pageBreakBefore w:val="0"/>
              <w:kinsoku/>
              <w:wordWrap/>
              <w:topLinePunct w:val="0"/>
              <w:bidi w:val="0"/>
              <w:spacing w:line="400" w:lineRule="exact"/>
              <w:ind w:firstLine="0" w:firstLineChars="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电流互感器</w:t>
            </w:r>
          </w:p>
        </w:tc>
        <w:tc>
          <w:tcPr>
            <w:tcW w:w="1945" w:type="dxa"/>
            <w:noWrap w:val="0"/>
            <w:vAlign w:val="top"/>
          </w:tcPr>
          <w:p w14:paraId="23CD684E">
            <w:pPr>
              <w:pStyle w:val="56"/>
              <w:pageBreakBefore w:val="0"/>
              <w:kinsoku/>
              <w:wordWrap/>
              <w:topLinePunct w:val="0"/>
              <w:bidi w:val="0"/>
              <w:spacing w:line="400" w:lineRule="exact"/>
              <w:ind w:firstLine="0" w:firstLineChars="0"/>
              <w:jc w:val="center"/>
              <w:rPr>
                <w:rFonts w:hint="eastAsia" w:ascii="宋体" w:hAnsi="宋体" w:eastAsia="宋体" w:cs="宋体"/>
                <w:sz w:val="24"/>
                <w:szCs w:val="24"/>
                <w:highlight w:val="none"/>
              </w:rPr>
            </w:pPr>
            <w:r>
              <w:rPr>
                <w:rFonts w:hint="eastAsia" w:ascii="宋体" w:hAnsi="宋体" w:eastAsia="宋体" w:cs="宋体"/>
                <w:color w:val="000000"/>
                <w:kern w:val="0"/>
                <w:sz w:val="24"/>
                <w:szCs w:val="24"/>
                <w:highlight w:val="none"/>
              </w:rPr>
              <w:t>2000：5/0.5级/开口式</w:t>
            </w:r>
          </w:p>
        </w:tc>
        <w:tc>
          <w:tcPr>
            <w:tcW w:w="864" w:type="dxa"/>
            <w:noWrap w:val="0"/>
            <w:vAlign w:val="top"/>
          </w:tcPr>
          <w:p w14:paraId="65FAC7CC">
            <w:pPr>
              <w:pStyle w:val="56"/>
              <w:pageBreakBefore w:val="0"/>
              <w:kinsoku/>
              <w:wordWrap/>
              <w:topLinePunct w:val="0"/>
              <w:bidi w:val="0"/>
              <w:spacing w:line="400" w:lineRule="exact"/>
              <w:ind w:firstLine="0" w:firstLineChars="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只</w:t>
            </w:r>
          </w:p>
        </w:tc>
        <w:tc>
          <w:tcPr>
            <w:tcW w:w="703" w:type="dxa"/>
            <w:noWrap w:val="0"/>
            <w:vAlign w:val="top"/>
          </w:tcPr>
          <w:p w14:paraId="398A6EBF">
            <w:pPr>
              <w:pStyle w:val="56"/>
              <w:pageBreakBefore w:val="0"/>
              <w:kinsoku/>
              <w:wordWrap/>
              <w:topLinePunct w:val="0"/>
              <w:bidi w:val="0"/>
              <w:spacing w:line="400" w:lineRule="exact"/>
              <w:ind w:firstLine="0" w:firstLineChars="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6</w:t>
            </w:r>
          </w:p>
        </w:tc>
        <w:tc>
          <w:tcPr>
            <w:tcW w:w="4213" w:type="dxa"/>
            <w:noWrap w:val="0"/>
            <w:vAlign w:val="top"/>
          </w:tcPr>
          <w:p w14:paraId="2C978242">
            <w:pPr>
              <w:pStyle w:val="56"/>
              <w:pageBreakBefore w:val="0"/>
              <w:kinsoku/>
              <w:wordWrap/>
              <w:topLinePunct w:val="0"/>
              <w:bidi w:val="0"/>
              <w:spacing w:line="400" w:lineRule="exact"/>
              <w:ind w:firstLine="0" w:firstLineChars="0"/>
              <w:jc w:val="center"/>
              <w:rPr>
                <w:rFonts w:hint="eastAsia" w:ascii="宋体" w:hAnsi="宋体" w:eastAsia="宋体" w:cs="宋体"/>
                <w:color w:val="FF0000"/>
                <w:sz w:val="24"/>
                <w:szCs w:val="24"/>
                <w:highlight w:val="none"/>
              </w:rPr>
            </w:pPr>
          </w:p>
          <w:p w14:paraId="6AADF8C5">
            <w:pPr>
              <w:pStyle w:val="56"/>
              <w:pageBreakBefore w:val="0"/>
              <w:kinsoku/>
              <w:wordWrap/>
              <w:topLinePunct w:val="0"/>
              <w:bidi w:val="0"/>
              <w:spacing w:line="400" w:lineRule="exact"/>
              <w:ind w:firstLine="0" w:firstLineChars="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靖江互感器厂、大连一互、大连二互</w:t>
            </w:r>
          </w:p>
          <w:p w14:paraId="43654955">
            <w:pPr>
              <w:pStyle w:val="56"/>
              <w:pageBreakBefore w:val="0"/>
              <w:kinsoku/>
              <w:wordWrap/>
              <w:topLinePunct w:val="0"/>
              <w:bidi w:val="0"/>
              <w:spacing w:line="400" w:lineRule="exact"/>
              <w:ind w:firstLine="0" w:firstLineChars="0"/>
              <w:jc w:val="center"/>
              <w:rPr>
                <w:rFonts w:hint="eastAsia" w:ascii="宋体" w:hAnsi="宋体" w:eastAsia="宋体" w:cs="宋体"/>
                <w:color w:val="FF0000"/>
                <w:sz w:val="24"/>
                <w:szCs w:val="24"/>
                <w:highlight w:val="none"/>
              </w:rPr>
            </w:pPr>
          </w:p>
        </w:tc>
      </w:tr>
      <w:tr w14:paraId="230F4A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2" w:type="dxa"/>
            <w:noWrap w:val="0"/>
            <w:vAlign w:val="top"/>
          </w:tcPr>
          <w:p w14:paraId="561E1238">
            <w:pPr>
              <w:pStyle w:val="56"/>
              <w:pageBreakBefore w:val="0"/>
              <w:kinsoku/>
              <w:wordWrap/>
              <w:topLinePunct w:val="0"/>
              <w:bidi w:val="0"/>
              <w:spacing w:line="400" w:lineRule="exact"/>
              <w:ind w:firstLine="0" w:firstLineChars="0"/>
              <w:jc w:val="center"/>
              <w:rPr>
                <w:rFonts w:hint="eastAsia" w:ascii="宋体" w:hAnsi="宋体" w:eastAsia="宋体" w:cs="宋体"/>
                <w:sz w:val="24"/>
                <w:szCs w:val="24"/>
                <w:highlight w:val="none"/>
              </w:rPr>
            </w:pPr>
            <w:r>
              <w:rPr>
                <w:rFonts w:hint="eastAsia" w:ascii="宋体" w:hAnsi="宋体" w:eastAsia="宋体" w:cs="宋体"/>
                <w:color w:val="000000"/>
                <w:kern w:val="0"/>
                <w:sz w:val="24"/>
                <w:szCs w:val="24"/>
                <w:highlight w:val="none"/>
              </w:rPr>
              <w:t>机柜</w:t>
            </w:r>
          </w:p>
        </w:tc>
        <w:tc>
          <w:tcPr>
            <w:tcW w:w="1945" w:type="dxa"/>
            <w:noWrap w:val="0"/>
            <w:vAlign w:val="top"/>
          </w:tcPr>
          <w:p w14:paraId="3D76090B">
            <w:pPr>
              <w:pStyle w:val="56"/>
              <w:pageBreakBefore w:val="0"/>
              <w:kinsoku/>
              <w:wordWrap/>
              <w:topLinePunct w:val="0"/>
              <w:bidi w:val="0"/>
              <w:spacing w:line="400" w:lineRule="exact"/>
              <w:ind w:firstLine="0" w:firstLineChars="0"/>
              <w:jc w:val="center"/>
              <w:rPr>
                <w:rFonts w:hint="eastAsia" w:ascii="宋体" w:hAnsi="宋体" w:eastAsia="宋体" w:cs="宋体"/>
                <w:sz w:val="24"/>
                <w:szCs w:val="24"/>
                <w:highlight w:val="none"/>
              </w:rPr>
            </w:pPr>
            <w:r>
              <w:rPr>
                <w:rFonts w:hint="eastAsia" w:ascii="宋体" w:hAnsi="宋体" w:eastAsia="宋体" w:cs="宋体"/>
                <w:color w:val="000000"/>
                <w:kern w:val="0"/>
                <w:sz w:val="24"/>
                <w:szCs w:val="24"/>
                <w:highlight w:val="none"/>
              </w:rPr>
              <w:t>W800*W1000*H2200 mm</w:t>
            </w:r>
          </w:p>
        </w:tc>
        <w:tc>
          <w:tcPr>
            <w:tcW w:w="864" w:type="dxa"/>
            <w:noWrap w:val="0"/>
            <w:vAlign w:val="top"/>
          </w:tcPr>
          <w:p w14:paraId="61B4C600">
            <w:pPr>
              <w:pStyle w:val="56"/>
              <w:pageBreakBefore w:val="0"/>
              <w:kinsoku/>
              <w:wordWrap/>
              <w:topLinePunct w:val="0"/>
              <w:bidi w:val="0"/>
              <w:spacing w:line="400" w:lineRule="exact"/>
              <w:ind w:firstLine="0" w:firstLineChars="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面</w:t>
            </w:r>
          </w:p>
        </w:tc>
        <w:tc>
          <w:tcPr>
            <w:tcW w:w="703" w:type="dxa"/>
            <w:noWrap w:val="0"/>
            <w:vAlign w:val="top"/>
          </w:tcPr>
          <w:p w14:paraId="4F6A4217">
            <w:pPr>
              <w:pStyle w:val="56"/>
              <w:pageBreakBefore w:val="0"/>
              <w:kinsoku/>
              <w:wordWrap/>
              <w:topLinePunct w:val="0"/>
              <w:bidi w:val="0"/>
              <w:spacing w:line="400" w:lineRule="exact"/>
              <w:ind w:firstLine="0" w:firstLineChars="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1</w:t>
            </w:r>
          </w:p>
        </w:tc>
        <w:tc>
          <w:tcPr>
            <w:tcW w:w="4213" w:type="dxa"/>
            <w:noWrap w:val="0"/>
            <w:vAlign w:val="top"/>
          </w:tcPr>
          <w:p w14:paraId="1AAF1F36">
            <w:pPr>
              <w:pStyle w:val="56"/>
              <w:pageBreakBefore w:val="0"/>
              <w:kinsoku/>
              <w:wordWrap/>
              <w:topLinePunct w:val="0"/>
              <w:bidi w:val="0"/>
              <w:spacing w:line="400" w:lineRule="exact"/>
              <w:ind w:firstLine="0" w:firstLineChars="0"/>
              <w:jc w:val="center"/>
              <w:rPr>
                <w:rFonts w:hint="eastAsia" w:ascii="宋体" w:hAnsi="宋体" w:eastAsia="宋体" w:cs="宋体"/>
                <w:color w:val="FF0000"/>
                <w:sz w:val="24"/>
                <w:szCs w:val="24"/>
                <w:highlight w:val="none"/>
              </w:rPr>
            </w:pPr>
          </w:p>
        </w:tc>
      </w:tr>
      <w:tr w14:paraId="24C4DC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2" w:type="dxa"/>
            <w:noWrap w:val="0"/>
            <w:vAlign w:val="top"/>
          </w:tcPr>
          <w:p w14:paraId="4680A6D1">
            <w:pPr>
              <w:pStyle w:val="56"/>
              <w:pageBreakBefore w:val="0"/>
              <w:kinsoku/>
              <w:wordWrap/>
              <w:topLinePunct w:val="0"/>
              <w:bidi w:val="0"/>
              <w:spacing w:line="400" w:lineRule="exact"/>
              <w:ind w:firstLine="0" w:firstLineChars="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电力电缆</w:t>
            </w:r>
          </w:p>
        </w:tc>
        <w:tc>
          <w:tcPr>
            <w:tcW w:w="1945" w:type="dxa"/>
            <w:noWrap w:val="0"/>
            <w:vAlign w:val="top"/>
          </w:tcPr>
          <w:p w14:paraId="07C1361D">
            <w:pPr>
              <w:pStyle w:val="56"/>
              <w:pageBreakBefore w:val="0"/>
              <w:kinsoku/>
              <w:wordWrap/>
              <w:topLinePunct w:val="0"/>
              <w:bidi w:val="0"/>
              <w:spacing w:line="400" w:lineRule="exact"/>
              <w:ind w:firstLine="0" w:firstLineChars="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BVR-150mm²</w:t>
            </w:r>
          </w:p>
        </w:tc>
        <w:tc>
          <w:tcPr>
            <w:tcW w:w="864" w:type="dxa"/>
            <w:noWrap w:val="0"/>
            <w:vAlign w:val="top"/>
          </w:tcPr>
          <w:p w14:paraId="78E4E1E9">
            <w:pPr>
              <w:pStyle w:val="56"/>
              <w:pageBreakBefore w:val="0"/>
              <w:kinsoku/>
              <w:wordWrap/>
              <w:topLinePunct w:val="0"/>
              <w:bidi w:val="0"/>
              <w:spacing w:line="400" w:lineRule="exact"/>
              <w:ind w:firstLine="0" w:firstLineChars="0"/>
              <w:jc w:val="center"/>
              <w:rPr>
                <w:rFonts w:hint="eastAsia" w:ascii="宋体" w:hAnsi="宋体" w:eastAsia="宋体" w:cs="宋体"/>
                <w:sz w:val="24"/>
                <w:szCs w:val="24"/>
                <w:highlight w:val="none"/>
              </w:rPr>
            </w:pPr>
            <w:r>
              <w:rPr>
                <w:rFonts w:hint="eastAsia" w:ascii="宋体" w:hAnsi="宋体" w:eastAsia="宋体" w:cs="宋体"/>
                <w:color w:val="000000"/>
                <w:kern w:val="0"/>
                <w:sz w:val="24"/>
                <w:szCs w:val="24"/>
                <w:highlight w:val="none"/>
              </w:rPr>
              <w:t>米</w:t>
            </w:r>
          </w:p>
        </w:tc>
        <w:tc>
          <w:tcPr>
            <w:tcW w:w="703" w:type="dxa"/>
            <w:noWrap w:val="0"/>
            <w:vAlign w:val="top"/>
          </w:tcPr>
          <w:p w14:paraId="76778641">
            <w:pPr>
              <w:pStyle w:val="56"/>
              <w:pageBreakBefore w:val="0"/>
              <w:kinsoku/>
              <w:wordWrap/>
              <w:topLinePunct w:val="0"/>
              <w:bidi w:val="0"/>
              <w:spacing w:line="400" w:lineRule="exact"/>
              <w:ind w:firstLine="0" w:firstLineChars="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36</w:t>
            </w:r>
          </w:p>
        </w:tc>
        <w:tc>
          <w:tcPr>
            <w:tcW w:w="4213" w:type="dxa"/>
            <w:noWrap w:val="0"/>
            <w:vAlign w:val="top"/>
          </w:tcPr>
          <w:p w14:paraId="2C25CD5D">
            <w:pPr>
              <w:pStyle w:val="56"/>
              <w:pageBreakBefore w:val="0"/>
              <w:kinsoku/>
              <w:wordWrap/>
              <w:topLinePunct w:val="0"/>
              <w:bidi w:val="0"/>
              <w:spacing w:line="400" w:lineRule="exact"/>
              <w:ind w:firstLine="0" w:firstLineChars="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无锡远东、江南、起帆</w:t>
            </w:r>
          </w:p>
          <w:p w14:paraId="60ABA0D2">
            <w:pPr>
              <w:pStyle w:val="56"/>
              <w:pageBreakBefore w:val="0"/>
              <w:kinsoku/>
              <w:wordWrap/>
              <w:topLinePunct w:val="0"/>
              <w:bidi w:val="0"/>
              <w:spacing w:line="400" w:lineRule="exact"/>
              <w:ind w:firstLine="0" w:firstLineChars="0"/>
              <w:jc w:val="center"/>
              <w:rPr>
                <w:rFonts w:hint="eastAsia" w:ascii="宋体" w:hAnsi="宋体" w:eastAsia="宋体" w:cs="宋体"/>
                <w:color w:val="auto"/>
                <w:sz w:val="24"/>
                <w:szCs w:val="24"/>
                <w:highlight w:val="none"/>
              </w:rPr>
            </w:pPr>
          </w:p>
        </w:tc>
      </w:tr>
      <w:tr w14:paraId="33AD9C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2" w:type="dxa"/>
            <w:noWrap w:val="0"/>
            <w:vAlign w:val="top"/>
          </w:tcPr>
          <w:p w14:paraId="43DAB4D7">
            <w:pPr>
              <w:pStyle w:val="56"/>
              <w:pageBreakBefore w:val="0"/>
              <w:kinsoku/>
              <w:wordWrap/>
              <w:topLinePunct w:val="0"/>
              <w:bidi w:val="0"/>
              <w:spacing w:line="400" w:lineRule="exact"/>
              <w:ind w:firstLine="0" w:firstLineChars="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控制电缆</w:t>
            </w:r>
          </w:p>
        </w:tc>
        <w:tc>
          <w:tcPr>
            <w:tcW w:w="1945" w:type="dxa"/>
            <w:noWrap w:val="0"/>
            <w:vAlign w:val="top"/>
          </w:tcPr>
          <w:p w14:paraId="042C6B84">
            <w:pPr>
              <w:pStyle w:val="56"/>
              <w:pageBreakBefore w:val="0"/>
              <w:kinsoku/>
              <w:wordWrap/>
              <w:topLinePunct w:val="0"/>
              <w:bidi w:val="0"/>
              <w:spacing w:line="400" w:lineRule="exact"/>
              <w:ind w:firstLine="0" w:firstLineChars="0"/>
              <w:jc w:val="center"/>
              <w:rPr>
                <w:rFonts w:hint="eastAsia" w:ascii="宋体" w:hAnsi="宋体" w:eastAsia="宋体" w:cs="宋体"/>
                <w:color w:val="000000"/>
                <w:kern w:val="0"/>
                <w:sz w:val="24"/>
                <w:szCs w:val="24"/>
                <w:highlight w:val="none"/>
              </w:rPr>
            </w:pPr>
            <w:r>
              <w:rPr>
                <w:rFonts w:hint="eastAsia" w:ascii="宋体" w:hAnsi="宋体" w:eastAsia="宋体" w:cs="宋体"/>
                <w:kern w:val="0"/>
                <w:sz w:val="24"/>
                <w:szCs w:val="24"/>
                <w:highlight w:val="none"/>
              </w:rPr>
              <w:t>RVVP2*2.5mm²</w:t>
            </w:r>
          </w:p>
        </w:tc>
        <w:tc>
          <w:tcPr>
            <w:tcW w:w="864" w:type="dxa"/>
            <w:noWrap w:val="0"/>
            <w:vAlign w:val="top"/>
          </w:tcPr>
          <w:p w14:paraId="0A4F81B4">
            <w:pPr>
              <w:pStyle w:val="56"/>
              <w:pageBreakBefore w:val="0"/>
              <w:kinsoku/>
              <w:wordWrap/>
              <w:topLinePunct w:val="0"/>
              <w:bidi w:val="0"/>
              <w:spacing w:line="400" w:lineRule="exact"/>
              <w:ind w:firstLine="0" w:firstLineChars="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米</w:t>
            </w:r>
          </w:p>
        </w:tc>
        <w:tc>
          <w:tcPr>
            <w:tcW w:w="703" w:type="dxa"/>
            <w:noWrap w:val="0"/>
            <w:vAlign w:val="top"/>
          </w:tcPr>
          <w:p w14:paraId="1C405E74">
            <w:pPr>
              <w:pStyle w:val="56"/>
              <w:pageBreakBefore w:val="0"/>
              <w:kinsoku/>
              <w:wordWrap/>
              <w:topLinePunct w:val="0"/>
              <w:bidi w:val="0"/>
              <w:spacing w:line="400" w:lineRule="exact"/>
              <w:ind w:firstLine="0" w:firstLineChars="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80</w:t>
            </w:r>
          </w:p>
        </w:tc>
        <w:tc>
          <w:tcPr>
            <w:tcW w:w="4213" w:type="dxa"/>
            <w:noWrap w:val="0"/>
            <w:vAlign w:val="top"/>
          </w:tcPr>
          <w:p w14:paraId="166E311E">
            <w:pPr>
              <w:pStyle w:val="56"/>
              <w:pageBreakBefore w:val="0"/>
              <w:kinsoku/>
              <w:wordWrap/>
              <w:topLinePunct w:val="0"/>
              <w:bidi w:val="0"/>
              <w:spacing w:line="400" w:lineRule="exact"/>
              <w:ind w:firstLine="0" w:firstLineChars="0"/>
              <w:jc w:val="center"/>
              <w:rPr>
                <w:rFonts w:hint="eastAsia" w:ascii="宋体" w:hAnsi="宋体" w:eastAsia="宋体" w:cs="宋体"/>
                <w:color w:val="auto"/>
                <w:sz w:val="24"/>
                <w:szCs w:val="24"/>
                <w:highlight w:val="none"/>
              </w:rPr>
            </w:pPr>
          </w:p>
        </w:tc>
      </w:tr>
      <w:tr w14:paraId="02BF58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2" w:type="dxa"/>
            <w:noWrap w:val="0"/>
            <w:vAlign w:val="top"/>
          </w:tcPr>
          <w:p w14:paraId="4C29D3D5">
            <w:pPr>
              <w:pStyle w:val="56"/>
              <w:pageBreakBefore w:val="0"/>
              <w:kinsoku/>
              <w:wordWrap/>
              <w:topLinePunct w:val="0"/>
              <w:bidi w:val="0"/>
              <w:spacing w:line="400" w:lineRule="exact"/>
              <w:ind w:firstLine="0" w:firstLineChars="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地线</w:t>
            </w:r>
          </w:p>
        </w:tc>
        <w:tc>
          <w:tcPr>
            <w:tcW w:w="1945" w:type="dxa"/>
            <w:noWrap w:val="0"/>
            <w:vAlign w:val="top"/>
          </w:tcPr>
          <w:p w14:paraId="772F99D2">
            <w:pPr>
              <w:pStyle w:val="56"/>
              <w:pageBreakBefore w:val="0"/>
              <w:kinsoku/>
              <w:wordWrap/>
              <w:topLinePunct w:val="0"/>
              <w:bidi w:val="0"/>
              <w:spacing w:line="400" w:lineRule="exact"/>
              <w:ind w:firstLine="0" w:firstLineChars="0"/>
              <w:jc w:val="center"/>
              <w:rPr>
                <w:rFonts w:hint="eastAsia" w:ascii="宋体" w:hAnsi="宋体" w:eastAsia="宋体" w:cs="宋体"/>
                <w:kern w:val="0"/>
                <w:sz w:val="24"/>
                <w:szCs w:val="24"/>
                <w:highlight w:val="none"/>
              </w:rPr>
            </w:pPr>
            <w:r>
              <w:rPr>
                <w:rFonts w:hint="eastAsia" w:ascii="宋体" w:hAnsi="宋体" w:eastAsia="宋体" w:cs="宋体"/>
                <w:color w:val="000000"/>
                <w:kern w:val="0"/>
                <w:sz w:val="24"/>
                <w:szCs w:val="24"/>
                <w:highlight w:val="none"/>
              </w:rPr>
              <w:t>BVR-16mm²</w:t>
            </w:r>
          </w:p>
        </w:tc>
        <w:tc>
          <w:tcPr>
            <w:tcW w:w="864" w:type="dxa"/>
            <w:noWrap w:val="0"/>
            <w:vAlign w:val="top"/>
          </w:tcPr>
          <w:p w14:paraId="6470E4C0">
            <w:pPr>
              <w:pStyle w:val="56"/>
              <w:pageBreakBefore w:val="0"/>
              <w:kinsoku/>
              <w:wordWrap/>
              <w:topLinePunct w:val="0"/>
              <w:bidi w:val="0"/>
              <w:spacing w:line="400" w:lineRule="exact"/>
              <w:ind w:firstLine="0" w:firstLineChars="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米</w:t>
            </w:r>
          </w:p>
        </w:tc>
        <w:tc>
          <w:tcPr>
            <w:tcW w:w="703" w:type="dxa"/>
            <w:noWrap w:val="0"/>
            <w:vAlign w:val="top"/>
          </w:tcPr>
          <w:p w14:paraId="100D9EBF">
            <w:pPr>
              <w:pStyle w:val="56"/>
              <w:pageBreakBefore w:val="0"/>
              <w:kinsoku/>
              <w:wordWrap/>
              <w:topLinePunct w:val="0"/>
              <w:bidi w:val="0"/>
              <w:spacing w:line="400" w:lineRule="exact"/>
              <w:ind w:firstLine="0" w:firstLineChars="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5</w:t>
            </w:r>
          </w:p>
        </w:tc>
        <w:tc>
          <w:tcPr>
            <w:tcW w:w="4213" w:type="dxa"/>
            <w:noWrap w:val="0"/>
            <w:vAlign w:val="top"/>
          </w:tcPr>
          <w:p w14:paraId="26D8DB47">
            <w:pPr>
              <w:pStyle w:val="56"/>
              <w:pageBreakBefore w:val="0"/>
              <w:kinsoku/>
              <w:wordWrap/>
              <w:topLinePunct w:val="0"/>
              <w:bidi w:val="0"/>
              <w:spacing w:line="400" w:lineRule="exact"/>
              <w:ind w:firstLine="0" w:firstLineChars="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无锡远东、江南、起帆</w:t>
            </w:r>
          </w:p>
          <w:p w14:paraId="25E145AA">
            <w:pPr>
              <w:pStyle w:val="56"/>
              <w:pageBreakBefore w:val="0"/>
              <w:kinsoku/>
              <w:wordWrap/>
              <w:topLinePunct w:val="0"/>
              <w:bidi w:val="0"/>
              <w:spacing w:line="400" w:lineRule="exact"/>
              <w:ind w:firstLine="0" w:firstLineChars="0"/>
              <w:jc w:val="center"/>
              <w:rPr>
                <w:rFonts w:hint="eastAsia" w:ascii="宋体" w:hAnsi="宋体" w:eastAsia="宋体" w:cs="宋体"/>
                <w:color w:val="auto"/>
                <w:sz w:val="24"/>
                <w:szCs w:val="24"/>
                <w:highlight w:val="none"/>
              </w:rPr>
            </w:pPr>
          </w:p>
        </w:tc>
      </w:tr>
      <w:tr w14:paraId="5ED929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2" w:type="dxa"/>
            <w:noWrap w:val="0"/>
            <w:vAlign w:val="top"/>
          </w:tcPr>
          <w:p w14:paraId="508CF994">
            <w:pPr>
              <w:pStyle w:val="56"/>
              <w:pageBreakBefore w:val="0"/>
              <w:kinsoku/>
              <w:wordWrap/>
              <w:topLinePunct w:val="0"/>
              <w:bidi w:val="0"/>
              <w:spacing w:line="400" w:lineRule="exact"/>
              <w:ind w:firstLine="0" w:firstLineChars="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远程后台监控</w:t>
            </w:r>
          </w:p>
        </w:tc>
        <w:tc>
          <w:tcPr>
            <w:tcW w:w="1945" w:type="dxa"/>
            <w:noWrap w:val="0"/>
            <w:vAlign w:val="top"/>
          </w:tcPr>
          <w:p w14:paraId="0E56A810">
            <w:pPr>
              <w:pStyle w:val="56"/>
              <w:pageBreakBefore w:val="0"/>
              <w:kinsoku/>
              <w:wordWrap/>
              <w:topLinePunct w:val="0"/>
              <w:bidi w:val="0"/>
              <w:spacing w:line="400" w:lineRule="exact"/>
              <w:ind w:firstLine="0" w:firstLineChars="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无线数据传输</w:t>
            </w:r>
          </w:p>
        </w:tc>
        <w:tc>
          <w:tcPr>
            <w:tcW w:w="864" w:type="dxa"/>
            <w:noWrap w:val="0"/>
            <w:vAlign w:val="top"/>
          </w:tcPr>
          <w:p w14:paraId="1A45EC49">
            <w:pPr>
              <w:pStyle w:val="56"/>
              <w:pageBreakBefore w:val="0"/>
              <w:kinsoku/>
              <w:wordWrap/>
              <w:topLinePunct w:val="0"/>
              <w:bidi w:val="0"/>
              <w:spacing w:line="400" w:lineRule="exact"/>
              <w:ind w:firstLine="0" w:firstLineChars="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项</w:t>
            </w:r>
          </w:p>
        </w:tc>
        <w:tc>
          <w:tcPr>
            <w:tcW w:w="703" w:type="dxa"/>
            <w:noWrap w:val="0"/>
            <w:vAlign w:val="top"/>
          </w:tcPr>
          <w:p w14:paraId="02758DFA">
            <w:pPr>
              <w:pStyle w:val="56"/>
              <w:pageBreakBefore w:val="0"/>
              <w:kinsoku/>
              <w:wordWrap/>
              <w:topLinePunct w:val="0"/>
              <w:bidi w:val="0"/>
              <w:spacing w:line="400" w:lineRule="exact"/>
              <w:ind w:firstLine="0" w:firstLineChars="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1</w:t>
            </w:r>
          </w:p>
        </w:tc>
        <w:tc>
          <w:tcPr>
            <w:tcW w:w="4213" w:type="dxa"/>
            <w:noWrap w:val="0"/>
            <w:vAlign w:val="top"/>
          </w:tcPr>
          <w:p w14:paraId="2EA18D95">
            <w:pPr>
              <w:pStyle w:val="56"/>
              <w:pageBreakBefore w:val="0"/>
              <w:kinsoku/>
              <w:wordWrap/>
              <w:topLinePunct w:val="0"/>
              <w:bidi w:val="0"/>
              <w:spacing w:line="400" w:lineRule="exact"/>
              <w:ind w:firstLine="0" w:firstLineChars="0"/>
              <w:jc w:val="center"/>
              <w:rPr>
                <w:rFonts w:hint="eastAsia" w:ascii="宋体" w:hAnsi="宋体" w:eastAsia="宋体" w:cs="宋体"/>
                <w:sz w:val="24"/>
                <w:szCs w:val="24"/>
                <w:highlight w:val="none"/>
              </w:rPr>
            </w:pPr>
          </w:p>
        </w:tc>
      </w:tr>
      <w:tr w14:paraId="352766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2" w:type="dxa"/>
            <w:noWrap w:val="0"/>
            <w:vAlign w:val="top"/>
          </w:tcPr>
          <w:p w14:paraId="7782DA97">
            <w:pPr>
              <w:pStyle w:val="56"/>
              <w:pageBreakBefore w:val="0"/>
              <w:kinsoku/>
              <w:wordWrap/>
              <w:topLinePunct w:val="0"/>
              <w:bidi w:val="0"/>
              <w:spacing w:line="400" w:lineRule="exact"/>
              <w:ind w:firstLine="0" w:firstLineChars="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PCC点电能质量实测报告</w:t>
            </w:r>
          </w:p>
        </w:tc>
        <w:tc>
          <w:tcPr>
            <w:tcW w:w="1945" w:type="dxa"/>
            <w:noWrap w:val="0"/>
            <w:vAlign w:val="top"/>
          </w:tcPr>
          <w:p w14:paraId="22477805">
            <w:pPr>
              <w:pStyle w:val="56"/>
              <w:pageBreakBefore w:val="0"/>
              <w:kinsoku/>
              <w:wordWrap/>
              <w:topLinePunct w:val="0"/>
              <w:bidi w:val="0"/>
              <w:spacing w:line="400" w:lineRule="exact"/>
              <w:ind w:firstLine="0" w:firstLineChars="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CMA/CNAS资质</w:t>
            </w:r>
          </w:p>
        </w:tc>
        <w:tc>
          <w:tcPr>
            <w:tcW w:w="864" w:type="dxa"/>
            <w:noWrap w:val="0"/>
            <w:vAlign w:val="top"/>
          </w:tcPr>
          <w:p w14:paraId="767A4816">
            <w:pPr>
              <w:pStyle w:val="56"/>
              <w:pageBreakBefore w:val="0"/>
              <w:kinsoku/>
              <w:wordWrap/>
              <w:topLinePunct w:val="0"/>
              <w:bidi w:val="0"/>
              <w:spacing w:line="400" w:lineRule="exact"/>
              <w:ind w:firstLine="0" w:firstLineChars="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项</w:t>
            </w:r>
          </w:p>
        </w:tc>
        <w:tc>
          <w:tcPr>
            <w:tcW w:w="703" w:type="dxa"/>
            <w:noWrap w:val="0"/>
            <w:vAlign w:val="top"/>
          </w:tcPr>
          <w:p w14:paraId="7B7FE88E">
            <w:pPr>
              <w:pStyle w:val="56"/>
              <w:pageBreakBefore w:val="0"/>
              <w:kinsoku/>
              <w:wordWrap/>
              <w:topLinePunct w:val="0"/>
              <w:bidi w:val="0"/>
              <w:spacing w:line="400" w:lineRule="exact"/>
              <w:ind w:firstLine="0" w:firstLineChars="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1</w:t>
            </w:r>
          </w:p>
        </w:tc>
        <w:tc>
          <w:tcPr>
            <w:tcW w:w="4213" w:type="dxa"/>
            <w:noWrap w:val="0"/>
            <w:vAlign w:val="top"/>
          </w:tcPr>
          <w:p w14:paraId="27E77669">
            <w:pPr>
              <w:pStyle w:val="56"/>
              <w:pageBreakBefore w:val="0"/>
              <w:kinsoku/>
              <w:wordWrap/>
              <w:topLinePunct w:val="0"/>
              <w:bidi w:val="0"/>
              <w:spacing w:line="400" w:lineRule="exact"/>
              <w:ind w:firstLine="0" w:firstLineChars="0"/>
              <w:jc w:val="center"/>
              <w:rPr>
                <w:rFonts w:hint="eastAsia" w:ascii="宋体" w:hAnsi="宋体" w:eastAsia="宋体" w:cs="宋体"/>
                <w:sz w:val="24"/>
                <w:szCs w:val="24"/>
                <w:highlight w:val="none"/>
              </w:rPr>
            </w:pPr>
          </w:p>
        </w:tc>
      </w:tr>
      <w:tr w14:paraId="7119DF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2" w:type="dxa"/>
            <w:noWrap w:val="0"/>
            <w:vAlign w:val="top"/>
          </w:tcPr>
          <w:p w14:paraId="348DFE3B">
            <w:pPr>
              <w:pStyle w:val="56"/>
              <w:pageBreakBefore w:val="0"/>
              <w:kinsoku/>
              <w:wordWrap/>
              <w:topLinePunct w:val="0"/>
              <w:bidi w:val="0"/>
              <w:spacing w:line="400" w:lineRule="exact"/>
              <w:ind w:firstLine="0" w:firstLineChars="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施工及辅材</w:t>
            </w:r>
          </w:p>
        </w:tc>
        <w:tc>
          <w:tcPr>
            <w:tcW w:w="1945" w:type="dxa"/>
            <w:noWrap w:val="0"/>
            <w:vAlign w:val="top"/>
          </w:tcPr>
          <w:p w14:paraId="61C8477C">
            <w:pPr>
              <w:pStyle w:val="56"/>
              <w:pageBreakBefore w:val="0"/>
              <w:kinsoku/>
              <w:wordWrap/>
              <w:topLinePunct w:val="0"/>
              <w:bidi w:val="0"/>
              <w:spacing w:line="400" w:lineRule="exact"/>
              <w:ind w:firstLine="0" w:firstLineChars="0"/>
              <w:jc w:val="center"/>
              <w:rPr>
                <w:rFonts w:hint="eastAsia" w:ascii="宋体" w:hAnsi="宋体" w:eastAsia="宋体" w:cs="宋体"/>
                <w:color w:val="000000"/>
                <w:kern w:val="0"/>
                <w:sz w:val="24"/>
                <w:szCs w:val="24"/>
                <w:highlight w:val="none"/>
              </w:rPr>
            </w:pPr>
          </w:p>
        </w:tc>
        <w:tc>
          <w:tcPr>
            <w:tcW w:w="864" w:type="dxa"/>
            <w:noWrap w:val="0"/>
            <w:vAlign w:val="top"/>
          </w:tcPr>
          <w:p w14:paraId="52D3308F">
            <w:pPr>
              <w:pStyle w:val="56"/>
              <w:pageBreakBefore w:val="0"/>
              <w:kinsoku/>
              <w:wordWrap/>
              <w:topLinePunct w:val="0"/>
              <w:bidi w:val="0"/>
              <w:spacing w:line="400" w:lineRule="exact"/>
              <w:ind w:firstLine="0" w:firstLineChars="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项</w:t>
            </w:r>
          </w:p>
        </w:tc>
        <w:tc>
          <w:tcPr>
            <w:tcW w:w="703" w:type="dxa"/>
            <w:noWrap w:val="0"/>
            <w:vAlign w:val="top"/>
          </w:tcPr>
          <w:p w14:paraId="556ED812">
            <w:pPr>
              <w:pStyle w:val="56"/>
              <w:pageBreakBefore w:val="0"/>
              <w:kinsoku/>
              <w:wordWrap/>
              <w:topLinePunct w:val="0"/>
              <w:bidi w:val="0"/>
              <w:spacing w:line="400" w:lineRule="exact"/>
              <w:ind w:firstLine="0" w:firstLineChars="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1</w:t>
            </w:r>
          </w:p>
        </w:tc>
        <w:tc>
          <w:tcPr>
            <w:tcW w:w="4213" w:type="dxa"/>
            <w:noWrap w:val="0"/>
            <w:vAlign w:val="top"/>
          </w:tcPr>
          <w:p w14:paraId="159DE5A0">
            <w:pPr>
              <w:pStyle w:val="56"/>
              <w:pageBreakBefore w:val="0"/>
              <w:kinsoku/>
              <w:wordWrap/>
              <w:topLinePunct w:val="0"/>
              <w:bidi w:val="0"/>
              <w:spacing w:line="400" w:lineRule="exact"/>
              <w:ind w:firstLine="0" w:firstLineChars="0"/>
              <w:jc w:val="center"/>
              <w:rPr>
                <w:rFonts w:hint="eastAsia" w:ascii="宋体" w:hAnsi="宋体" w:eastAsia="宋体" w:cs="宋体"/>
                <w:sz w:val="24"/>
                <w:szCs w:val="24"/>
                <w:highlight w:val="none"/>
              </w:rPr>
            </w:pPr>
          </w:p>
        </w:tc>
      </w:tr>
    </w:tbl>
    <w:p w14:paraId="3780833C">
      <w:pPr>
        <w:keepNext w:val="0"/>
        <w:keepLines w:val="0"/>
        <w:pageBreakBefore w:val="0"/>
        <w:widowControl w:val="0"/>
        <w:kinsoku/>
        <w:wordWrap/>
        <w:overflowPunct/>
        <w:topLinePunct w:val="0"/>
        <w:autoSpaceDE/>
        <w:autoSpaceDN/>
        <w:bidi w:val="0"/>
        <w:adjustRightInd/>
        <w:snapToGrid/>
        <w:spacing w:before="157" w:beforeLines="50" w:line="400" w:lineRule="exact"/>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二、施工内容</w:t>
      </w:r>
    </w:p>
    <w:p w14:paraId="08213316">
      <w:pPr>
        <w:pStyle w:val="56"/>
        <w:pageBreakBefore w:val="0"/>
        <w:numPr>
          <w:ilvl w:val="0"/>
          <w:numId w:val="0"/>
        </w:numPr>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rPr>
        <w:t>有源滤波柜采用10#槽钢做基础安装在低压配电室靠南面墙；</w:t>
      </w:r>
    </w:p>
    <w:p w14:paraId="3DAA61CE">
      <w:pPr>
        <w:pStyle w:val="56"/>
        <w:pageBreakBefore w:val="0"/>
        <w:numPr>
          <w:ilvl w:val="0"/>
          <w:numId w:val="0"/>
        </w:numPr>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rPr>
        <w:t>电源线采用BVR-150mm²电力电缆从低压配电柜母线排通过电缆沟引致滤波柜进线开关；</w:t>
      </w:r>
    </w:p>
    <w:p w14:paraId="3FBEEF0F">
      <w:pPr>
        <w:pStyle w:val="56"/>
        <w:pageBreakBefore w:val="0"/>
        <w:numPr>
          <w:ilvl w:val="0"/>
          <w:numId w:val="0"/>
        </w:numPr>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rPr>
        <w:t>做好接地电阻测试,电阻率不大于4Ω。</w:t>
      </w:r>
    </w:p>
    <w:p w14:paraId="2F02326B">
      <w:pPr>
        <w:pageBreakBefore w:val="0"/>
        <w:numPr>
          <w:ilvl w:val="0"/>
          <w:numId w:val="0"/>
        </w:numPr>
        <w:kinsoku/>
        <w:wordWrap/>
        <w:topLinePunct w:val="0"/>
        <w:bidi w:val="0"/>
        <w:spacing w:line="400" w:lineRule="exact"/>
        <w:ind w:firstLine="480" w:firstLineChars="200"/>
        <w:rPr>
          <w:rFonts w:hint="eastAsia" w:ascii="宋体" w:hAnsi="宋体" w:eastAsia="宋体" w:cs="宋体"/>
          <w:color w:val="0D0D0D" w:themeColor="text1" w:themeTint="F2"/>
          <w:kern w:val="0"/>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0"/>
          <w:sz w:val="24"/>
          <w:szCs w:val="24"/>
          <w:highlight w:val="none"/>
          <w:lang w:val="en-US" w:eastAsia="zh-CN"/>
          <w14:textFill>
            <w14:solidFill>
              <w14:schemeClr w14:val="tx1">
                <w14:lumMod w14:val="95000"/>
                <w14:lumOff w14:val="5000"/>
              </w14:schemeClr>
            </w14:solidFill>
          </w14:textFill>
        </w:rPr>
        <w:t>4.</w:t>
      </w:r>
      <w:r>
        <w:rPr>
          <w:rFonts w:hint="eastAsia" w:ascii="宋体" w:hAnsi="宋体" w:eastAsia="宋体" w:cs="宋体"/>
          <w:color w:val="0D0D0D" w:themeColor="text1" w:themeTint="F2"/>
          <w:kern w:val="0"/>
          <w:sz w:val="24"/>
          <w:szCs w:val="24"/>
          <w:highlight w:val="none"/>
          <w14:textFill>
            <w14:solidFill>
              <w14:schemeClr w14:val="tx1">
                <w14:lumMod w14:val="95000"/>
                <w14:lumOff w14:val="5000"/>
              </w14:schemeClr>
            </w14:solidFill>
          </w14:textFill>
        </w:rPr>
        <w:t xml:space="preserve">合同签订之日起30个日历天内将货物送至招标人指定地点；货物交付后30个工作日内安装调试完毕。 </w:t>
      </w:r>
    </w:p>
    <w:p w14:paraId="702F9868">
      <w:pPr>
        <w:keepNext w:val="0"/>
        <w:keepLines w:val="0"/>
        <w:pageBreakBefore w:val="0"/>
        <w:widowControl w:val="0"/>
        <w:kinsoku/>
        <w:wordWrap/>
        <w:overflowPunct/>
        <w:topLinePunct w:val="0"/>
        <w:autoSpaceDE/>
        <w:autoSpaceDN/>
        <w:bidi w:val="0"/>
        <w:adjustRightInd/>
        <w:snapToGrid/>
        <w:spacing w:before="157" w:beforeLines="50" w:line="400" w:lineRule="exact"/>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三、质量标准</w:t>
      </w:r>
    </w:p>
    <w:p w14:paraId="58237118">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具有CNAS/CMA资质三方出具的电能质量检测报告，检测数据必须符合供电部门的技术要求</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并有</w:t>
      </w:r>
      <w:r>
        <w:rPr>
          <w:rFonts w:hint="eastAsia" w:ascii="宋体" w:hAnsi="宋体" w:cs="宋体"/>
          <w:sz w:val="24"/>
          <w:szCs w:val="24"/>
          <w:highlight w:val="none"/>
          <w:lang w:val="en-US" w:eastAsia="zh-CN"/>
        </w:rPr>
        <w:t>卖</w:t>
      </w:r>
      <w:r>
        <w:rPr>
          <w:rFonts w:hint="eastAsia" w:ascii="宋体" w:hAnsi="宋体" w:eastAsia="宋体" w:cs="宋体"/>
          <w:sz w:val="24"/>
          <w:szCs w:val="24"/>
          <w:highlight w:val="none"/>
          <w:lang w:val="en-US" w:eastAsia="zh-CN"/>
        </w:rPr>
        <w:t>方提交项目所在地供电部门审核通过备案</w:t>
      </w:r>
      <w:r>
        <w:rPr>
          <w:rFonts w:hint="eastAsia" w:ascii="宋体" w:hAnsi="宋体" w:eastAsia="宋体" w:cs="宋体"/>
          <w:sz w:val="24"/>
          <w:szCs w:val="24"/>
          <w:highlight w:val="none"/>
        </w:rPr>
        <w:t>。</w:t>
      </w:r>
    </w:p>
    <w:p w14:paraId="6757BB91">
      <w:pPr>
        <w:keepNext w:val="0"/>
        <w:keepLines w:val="0"/>
        <w:pageBreakBefore w:val="0"/>
        <w:widowControl w:val="0"/>
        <w:kinsoku/>
        <w:wordWrap/>
        <w:overflowPunct/>
        <w:topLinePunct w:val="0"/>
        <w:autoSpaceDE/>
        <w:autoSpaceDN/>
        <w:bidi w:val="0"/>
        <w:adjustRightInd/>
        <w:snapToGrid/>
        <w:spacing w:before="157" w:beforeLines="50" w:line="400" w:lineRule="exact"/>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四、资质要求</w:t>
      </w:r>
    </w:p>
    <w:p w14:paraId="08D665C8">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具有国家电管部门颁发的承装（修、试）电力设施许可证：承装类四级（含四级）</w:t>
      </w:r>
      <w:r>
        <w:rPr>
          <w:rFonts w:hint="eastAsia" w:ascii="宋体" w:hAnsi="宋体" w:eastAsia="宋体" w:cs="宋体"/>
          <w:sz w:val="24"/>
          <w:szCs w:val="24"/>
          <w:highlight w:val="none"/>
          <w:lang w:val="en-US" w:eastAsia="zh-CN"/>
        </w:rPr>
        <w:t>或</w:t>
      </w:r>
      <w:r>
        <w:rPr>
          <w:rFonts w:hint="eastAsia" w:ascii="宋体" w:hAnsi="宋体" w:eastAsia="宋体" w:cs="宋体"/>
          <w:sz w:val="24"/>
          <w:szCs w:val="24"/>
          <w:highlight w:val="none"/>
        </w:rPr>
        <w:t>承修类四级（含四级）</w:t>
      </w:r>
      <w:r>
        <w:rPr>
          <w:rFonts w:hint="eastAsia" w:ascii="宋体" w:hAnsi="宋体" w:eastAsia="宋体" w:cs="宋体"/>
          <w:sz w:val="24"/>
          <w:szCs w:val="24"/>
          <w:highlight w:val="none"/>
          <w:lang w:val="en-US" w:eastAsia="zh-CN"/>
        </w:rPr>
        <w:t>或</w:t>
      </w:r>
      <w:r>
        <w:rPr>
          <w:rFonts w:hint="eastAsia" w:ascii="宋体" w:hAnsi="宋体" w:eastAsia="宋体" w:cs="宋体"/>
          <w:sz w:val="24"/>
          <w:szCs w:val="24"/>
          <w:highlight w:val="none"/>
        </w:rPr>
        <w:t>承试类四级（含四级）及以上资质，产品型式试验报告，营业执照</w:t>
      </w:r>
    </w:p>
    <w:p w14:paraId="087A7E20">
      <w:pPr>
        <w:keepNext w:val="0"/>
        <w:keepLines w:val="0"/>
        <w:pageBreakBefore w:val="0"/>
        <w:widowControl w:val="0"/>
        <w:kinsoku/>
        <w:wordWrap/>
        <w:overflowPunct/>
        <w:topLinePunct w:val="0"/>
        <w:autoSpaceDE/>
        <w:autoSpaceDN/>
        <w:bidi w:val="0"/>
        <w:adjustRightInd/>
        <w:snapToGrid/>
        <w:spacing w:before="157" w:beforeLines="50" w:line="400" w:lineRule="exact"/>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五、技术要求：有源滤波器需符合以下标准</w:t>
      </w:r>
    </w:p>
    <w:p w14:paraId="43044564">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GB/T14549-93《电能质量：公用电网谐波》；</w:t>
      </w:r>
    </w:p>
    <w:p w14:paraId="5FB7C063">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GB/T15543-1995 《电能质量：三相电压允许不平衡度》；</w:t>
      </w:r>
    </w:p>
    <w:p w14:paraId="6AB89B8E">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GB/T15945-1995 《电能质量：电力系统频率允许偏差》；</w:t>
      </w:r>
    </w:p>
    <w:p w14:paraId="00FFE271">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GB/T12326-2000 《电能质量：电压波动和闪变》；</w:t>
      </w:r>
    </w:p>
    <w:p w14:paraId="2F4E53B6">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GB/T12325-2003 《电能质量：供电电压允许偏差》；</w:t>
      </w:r>
    </w:p>
    <w:p w14:paraId="0D68A41A">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GB/T18481-2001 《电能质量：暂时过电压和瞬态过电压》；</w:t>
      </w:r>
    </w:p>
    <w:p w14:paraId="689F6487">
      <w:pPr>
        <w:pageBreakBefore w:val="0"/>
        <w:kinsoku/>
        <w:wordWrap/>
        <w:topLinePunct w:val="0"/>
        <w:bidi w:val="0"/>
        <w:spacing w:line="400" w:lineRule="exact"/>
        <w:ind w:firstLine="480" w:firstLineChars="200"/>
        <w:rPr>
          <w:rFonts w:hint="eastAsia" w:ascii="宋体" w:hAnsi="宋体" w:eastAsia="宋体" w:cs="宋体"/>
          <w:b w:val="0"/>
          <w:bCs w:val="0"/>
          <w:kern w:val="2"/>
          <w:sz w:val="24"/>
          <w:szCs w:val="24"/>
          <w:highlight w:val="none"/>
          <w:lang w:val="en-US" w:eastAsia="zh-CN" w:bidi="ar-SA"/>
        </w:rPr>
      </w:pPr>
      <w:r>
        <w:rPr>
          <w:rFonts w:hint="eastAsia" w:ascii="宋体" w:hAnsi="宋体" w:eastAsia="宋体" w:cs="宋体"/>
          <w:b w:val="0"/>
          <w:bCs w:val="0"/>
          <w:kern w:val="2"/>
          <w:sz w:val="24"/>
          <w:szCs w:val="24"/>
          <w:highlight w:val="none"/>
          <w:lang w:val="en-US" w:eastAsia="zh-CN" w:bidi="ar-SA"/>
        </w:rPr>
        <w:t>GB/T15576-1995 《低压无功功率静态补偿装置总技术条件》；</w:t>
      </w:r>
    </w:p>
    <w:p w14:paraId="659AB2AB">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GB7625.11998 《低压电气电子产品发出的谐波电流限值》；</w:t>
      </w:r>
    </w:p>
    <w:p w14:paraId="25B515F5">
      <w:pPr>
        <w:keepNext w:val="0"/>
        <w:keepLines w:val="0"/>
        <w:pageBreakBefore w:val="0"/>
        <w:widowControl w:val="0"/>
        <w:kinsoku/>
        <w:wordWrap/>
        <w:overflowPunct/>
        <w:topLinePunct w:val="0"/>
        <w:autoSpaceDE/>
        <w:autoSpaceDN/>
        <w:bidi w:val="0"/>
        <w:adjustRightInd/>
        <w:snapToGrid/>
        <w:spacing w:before="157" w:beforeLines="50" w:line="400" w:lineRule="exact"/>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lang w:val="en-US" w:eastAsia="zh-CN"/>
        </w:rPr>
        <w:t>六．</w:t>
      </w:r>
      <w:r>
        <w:rPr>
          <w:rFonts w:hint="eastAsia" w:ascii="宋体" w:hAnsi="宋体" w:eastAsia="宋体" w:cs="宋体"/>
          <w:b/>
          <w:bCs/>
          <w:sz w:val="24"/>
          <w:szCs w:val="24"/>
          <w:highlight w:val="none"/>
        </w:rPr>
        <w:t>有源滤波器运行环境</w:t>
      </w:r>
    </w:p>
    <w:p w14:paraId="6B220BD2">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ascii="宋体" w:hAnsi="宋体" w:eastAsia="宋体" w:cs="宋体"/>
          <w:sz w:val="24"/>
          <w:szCs w:val="24"/>
          <w:highlight w:val="none"/>
          <w:lang w:val="en-US" w:eastAsia="zh-CN"/>
        </w:rPr>
        <w:t>.</w:t>
      </w:r>
      <w:r>
        <w:rPr>
          <w:rFonts w:hint="eastAsia" w:ascii="宋体" w:hAnsi="宋体" w:eastAsia="宋体" w:cs="宋体"/>
          <w:sz w:val="24"/>
          <w:szCs w:val="24"/>
          <w:highlight w:val="none"/>
        </w:rPr>
        <w:t>海拔高度：1500m及以下。</w:t>
      </w:r>
    </w:p>
    <w:p w14:paraId="7D34CDE9">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rPr>
        <w:t>地震烈度：≤8度，属于构造较稳定区。</w:t>
      </w:r>
    </w:p>
    <w:p w14:paraId="6601BC45">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rPr>
        <w:t>环境温度：-10℃～+40℃；储运温度-40℃～70℃。</w:t>
      </w:r>
    </w:p>
    <w:p w14:paraId="3785640B">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4</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极限最高相对湿度：95％。</w:t>
      </w:r>
    </w:p>
    <w:p w14:paraId="4B86D448">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rPr>
        <w:t>环境相对湿度： 5％～95％。</w:t>
      </w:r>
    </w:p>
    <w:p w14:paraId="71BA5B86">
      <w:pPr>
        <w:keepNext w:val="0"/>
        <w:keepLines w:val="0"/>
        <w:pageBreakBefore w:val="0"/>
        <w:widowControl w:val="0"/>
        <w:kinsoku/>
        <w:wordWrap/>
        <w:overflowPunct/>
        <w:topLinePunct w:val="0"/>
        <w:autoSpaceDE/>
        <w:autoSpaceDN/>
        <w:bidi w:val="0"/>
        <w:adjustRightInd/>
        <w:snapToGrid/>
        <w:spacing w:before="157" w:beforeLines="50" w:line="400" w:lineRule="exact"/>
        <w:textAlignment w:val="auto"/>
        <w:rPr>
          <w:rFonts w:hint="eastAsia" w:ascii="宋体" w:hAnsi="宋体" w:eastAsia="宋体" w:cs="宋体"/>
          <w:b/>
          <w:bCs/>
          <w:sz w:val="24"/>
          <w:szCs w:val="24"/>
          <w:highlight w:val="none"/>
        </w:rPr>
      </w:pPr>
      <w:bookmarkStart w:id="15" w:name="_Toc10278"/>
      <w:r>
        <w:rPr>
          <w:rFonts w:hint="eastAsia" w:ascii="宋体" w:hAnsi="宋体" w:eastAsia="宋体" w:cs="宋体"/>
          <w:b/>
          <w:bCs/>
          <w:sz w:val="24"/>
          <w:szCs w:val="24"/>
          <w:highlight w:val="none"/>
          <w:lang w:val="en-US" w:eastAsia="zh-CN"/>
        </w:rPr>
        <w:t>七．</w:t>
      </w:r>
      <w:r>
        <w:rPr>
          <w:rFonts w:hint="eastAsia" w:ascii="宋体" w:hAnsi="宋体" w:eastAsia="宋体" w:cs="宋体"/>
          <w:b/>
          <w:bCs/>
          <w:sz w:val="24"/>
          <w:szCs w:val="24"/>
          <w:highlight w:val="none"/>
        </w:rPr>
        <w:t>有源滤波器技术参数要求</w:t>
      </w:r>
      <w:bookmarkEnd w:id="15"/>
    </w:p>
    <w:p w14:paraId="13D41162">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1.额定电压：380V/400V，波动范围-40%~+20%。</w:t>
      </w:r>
    </w:p>
    <w:p w14:paraId="2A84C162">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额定频率：45-62HZ。</w:t>
      </w:r>
    </w:p>
    <w:p w14:paraId="23FBC6CC">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相/线：3相4线或3相3线可通过软件选择，而无需更改硬件配置。</w:t>
      </w:r>
    </w:p>
    <w:p w14:paraId="710839D6">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4</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扩容方式：模块化设计，支持多机并联扩容，并联容量不受限制。可通过增加机柜所装的模块数量进行扩容。</w:t>
      </w:r>
    </w:p>
    <w:p w14:paraId="540E9F8C">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5</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单模块容量含有25A、35A、50A、60A、100A、150A多样化机型，以满足招标方对于不同容量的需求。并且不同容量的模块可以自由并联扩容。</w:t>
      </w:r>
    </w:p>
    <w:p w14:paraId="67EA586F">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6</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安装方式为模块化设计机柜式安装，为了满足大容量的需求，单柜最大补偿容量至少为</w:t>
      </w: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rPr>
        <w:t>00A。个别补偿点空间不足时模块亦可满足壁挂式安装。</w:t>
      </w:r>
    </w:p>
    <w:p w14:paraId="17358C55">
      <w:pPr>
        <w:pageBreakBefore w:val="0"/>
        <w:kinsoku/>
        <w:wordWrap/>
        <w:topLinePunct w:val="0"/>
        <w:bidi w:val="0"/>
        <w:spacing w:line="400" w:lineRule="exact"/>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lang w:val="en-US" w:eastAsia="zh-CN"/>
        </w:rPr>
        <w:t>7.</w:t>
      </w:r>
      <w:r>
        <w:rPr>
          <w:rFonts w:hint="eastAsia" w:ascii="宋体" w:hAnsi="宋体" w:eastAsia="宋体" w:cs="宋体"/>
          <w:color w:val="000000"/>
          <w:sz w:val="24"/>
          <w:szCs w:val="24"/>
          <w:highlight w:val="none"/>
        </w:rPr>
        <w:t>有源滤波器模块颜色：黑色。</w:t>
      </w:r>
    </w:p>
    <w:p w14:paraId="2D4D49DC">
      <w:pPr>
        <w:pStyle w:val="75"/>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8.</w:t>
      </w:r>
      <w:r>
        <w:rPr>
          <w:rFonts w:hint="eastAsia" w:ascii="宋体" w:hAnsi="宋体" w:eastAsia="宋体" w:cs="宋体"/>
          <w:sz w:val="24"/>
          <w:szCs w:val="24"/>
          <w:highlight w:val="none"/>
        </w:rPr>
        <w:t xml:space="preserve">模块内应充分考虑到模块运行中的散热问题，在模块前后两端均有不同数量的散热槽孔。当模块内电器元件发热后，通过后端槽孔排出，而冷风不断地由前端槽孔补充进模块，使密封的模块自前而后形成一个通风道，达到散热的目的。采用风扇进行智能风冷。 </w:t>
      </w:r>
    </w:p>
    <w:p w14:paraId="5ADBD827">
      <w:pPr>
        <w:pStyle w:val="76"/>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9.</w:t>
      </w:r>
      <w:r>
        <w:rPr>
          <w:rFonts w:hint="eastAsia" w:ascii="宋体" w:hAnsi="宋体" w:eastAsia="宋体" w:cs="宋体"/>
          <w:sz w:val="24"/>
          <w:szCs w:val="24"/>
          <w:highlight w:val="none"/>
        </w:rPr>
        <w:t>有源滤波器采用模块化设计，机柜式安装，柜体采用底部或顶部的接线方式，要求能方便与我方低压配电系统接线。</w:t>
      </w:r>
    </w:p>
    <w:p w14:paraId="7615A7F9">
      <w:pPr>
        <w:pStyle w:val="75"/>
        <w:pageBreakBefore w:val="0"/>
        <w:kinsoku/>
        <w:wordWrap/>
        <w:topLinePunct w:val="0"/>
        <w:bidi w:val="0"/>
        <w:spacing w:line="400" w:lineRule="exact"/>
        <w:ind w:firstLine="480" w:firstLineChars="200"/>
        <w:rPr>
          <w:rFonts w:hint="eastAsia" w:ascii="宋体" w:hAnsi="宋体" w:eastAsia="宋体" w:cs="宋体"/>
          <w:color w:val="000000"/>
          <w:sz w:val="24"/>
          <w:szCs w:val="24"/>
          <w:highlight w:val="none"/>
        </w:rPr>
      </w:pPr>
      <w:r>
        <w:rPr>
          <w:rFonts w:hint="eastAsia" w:ascii="宋体" w:hAnsi="宋体" w:eastAsia="宋体" w:cs="宋体"/>
          <w:sz w:val="24"/>
          <w:szCs w:val="24"/>
          <w:highlight w:val="none"/>
          <w:lang w:val="en-US" w:eastAsia="zh-CN"/>
        </w:rPr>
        <w:t>10.</w:t>
      </w:r>
      <w:r>
        <w:rPr>
          <w:rFonts w:hint="eastAsia" w:ascii="宋体" w:hAnsi="宋体" w:eastAsia="宋体" w:cs="宋体"/>
          <w:sz w:val="24"/>
          <w:szCs w:val="24"/>
          <w:highlight w:val="none"/>
        </w:rPr>
        <w:t>柜体使用的钢板符合IEC标准，平整度误差小于2mm/m</w:t>
      </w:r>
      <w:r>
        <w:rPr>
          <w:rFonts w:hint="eastAsia" w:ascii="宋体" w:hAnsi="宋体" w:eastAsia="宋体" w:cs="宋体"/>
          <w:sz w:val="24"/>
          <w:szCs w:val="24"/>
          <w:highlight w:val="none"/>
          <w:vertAlign w:val="superscript"/>
        </w:rPr>
        <w:t>2</w:t>
      </w:r>
      <w:r>
        <w:rPr>
          <w:rFonts w:hint="eastAsia" w:ascii="宋体" w:hAnsi="宋体" w:eastAsia="宋体" w:cs="宋体"/>
          <w:sz w:val="24"/>
          <w:szCs w:val="24"/>
          <w:highlight w:val="none"/>
        </w:rPr>
        <w:t>，防护等级要求可提供IP20防护等级的外壳。</w:t>
      </w:r>
    </w:p>
    <w:p w14:paraId="77593D67">
      <w:pPr>
        <w:pStyle w:val="76"/>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11.</w:t>
      </w:r>
      <w:r>
        <w:rPr>
          <w:rFonts w:hint="eastAsia" w:ascii="宋体" w:hAnsi="宋体" w:eastAsia="宋体" w:cs="宋体"/>
          <w:sz w:val="24"/>
          <w:szCs w:val="24"/>
          <w:highlight w:val="none"/>
        </w:rPr>
        <w:t>有源滤波器采用全数字、模块化控制方式，CPU采用</w:t>
      </w:r>
      <w:r>
        <w:rPr>
          <w:rFonts w:hint="eastAsia" w:ascii="宋体" w:hAnsi="宋体" w:eastAsia="宋体" w:cs="宋体"/>
          <w:color w:val="000000"/>
          <w:sz w:val="24"/>
          <w:szCs w:val="24"/>
          <w:highlight w:val="none"/>
        </w:rPr>
        <w:t>3DSP+CPLD全数字、</w:t>
      </w:r>
      <w:r>
        <w:rPr>
          <w:rFonts w:hint="eastAsia" w:ascii="宋体" w:hAnsi="宋体" w:eastAsia="宋体" w:cs="宋体"/>
          <w:sz w:val="24"/>
          <w:szCs w:val="24"/>
          <w:highlight w:val="none"/>
        </w:rPr>
        <w:t>模块化控制，主控中心做全封闭防尘处理。</w:t>
      </w:r>
    </w:p>
    <w:p w14:paraId="36A37266">
      <w:pPr>
        <w:pStyle w:val="76"/>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12.</w:t>
      </w:r>
      <w:r>
        <w:rPr>
          <w:rFonts w:hint="eastAsia" w:ascii="宋体" w:hAnsi="宋体" w:eastAsia="宋体" w:cs="宋体"/>
          <w:sz w:val="24"/>
          <w:szCs w:val="24"/>
          <w:highlight w:val="none"/>
        </w:rPr>
        <w:t>能同时滤除2-50次谐波，也可以有选择性滤除各次谐波，并且2-50次任意次谐波的滤除率可调。</w:t>
      </w:r>
    </w:p>
    <w:p w14:paraId="7AE59423">
      <w:pPr>
        <w:pStyle w:val="76"/>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13.</w:t>
      </w:r>
      <w:r>
        <w:rPr>
          <w:rFonts w:hint="eastAsia" w:ascii="宋体" w:hAnsi="宋体" w:eastAsia="宋体" w:cs="宋体"/>
          <w:sz w:val="24"/>
          <w:szCs w:val="24"/>
          <w:highlight w:val="none"/>
        </w:rPr>
        <w:t>有源滤波器采用直接控制方式，允许自由的选择谐波次数并对它们滤除，滤波范围为2-50次谐波。</w:t>
      </w:r>
    </w:p>
    <w:p w14:paraId="1EF9A37C">
      <w:pPr>
        <w:pStyle w:val="76"/>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14.</w:t>
      </w:r>
      <w:r>
        <w:rPr>
          <w:rFonts w:hint="eastAsia" w:ascii="宋体" w:hAnsi="宋体" w:eastAsia="宋体" w:cs="宋体"/>
          <w:sz w:val="24"/>
          <w:szCs w:val="24"/>
          <w:highlight w:val="none"/>
        </w:rPr>
        <w:t>控制算法：同时支持智能傅里叶、快速傅里叶（FFT）和瞬时无功三种算法。</w:t>
      </w:r>
    </w:p>
    <w:p w14:paraId="443BBACE">
      <w:pPr>
        <w:pStyle w:val="76"/>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15.</w:t>
      </w:r>
      <w:r>
        <w:rPr>
          <w:rFonts w:hint="eastAsia" w:ascii="宋体" w:hAnsi="宋体" w:eastAsia="宋体" w:cs="宋体"/>
          <w:sz w:val="24"/>
          <w:szCs w:val="24"/>
          <w:highlight w:val="none"/>
        </w:rPr>
        <w:t>同时支持CT的源侧和负载侧接法，可根据现场情况灵活调整。</w:t>
      </w:r>
    </w:p>
    <w:p w14:paraId="309FFFBF">
      <w:pPr>
        <w:pStyle w:val="76"/>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16.</w:t>
      </w:r>
      <w:r>
        <w:rPr>
          <w:rFonts w:hint="eastAsia" w:ascii="宋体" w:hAnsi="宋体" w:eastAsia="宋体" w:cs="宋体"/>
          <w:sz w:val="24"/>
          <w:szCs w:val="24"/>
          <w:highlight w:val="none"/>
        </w:rPr>
        <w:t>滤波效果，在APF容量范围内，系统总谐波畸变率应控制在5%以内。（需提供权威检验机构型式试验报告）</w:t>
      </w:r>
    </w:p>
    <w:p w14:paraId="4F4615FF">
      <w:pPr>
        <w:pStyle w:val="76"/>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17.</w:t>
      </w:r>
      <w:r>
        <w:rPr>
          <w:rFonts w:hint="eastAsia" w:ascii="宋体" w:hAnsi="宋体" w:eastAsia="宋体" w:cs="宋体"/>
          <w:sz w:val="24"/>
          <w:szCs w:val="24"/>
          <w:highlight w:val="none"/>
        </w:rPr>
        <w:t>有源滤波器既能提供无级的感性无功也能提供无级的容性无功，并且目标功率因数可调。在APF容量范围内，其基波无功补偿率应能≥99%。（需提供权威检验机构型式试验报告）</w:t>
      </w:r>
    </w:p>
    <w:p w14:paraId="0B478E59">
      <w:pPr>
        <w:pStyle w:val="76"/>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18.</w:t>
      </w:r>
      <w:r>
        <w:rPr>
          <w:rFonts w:hint="eastAsia" w:ascii="宋体" w:hAnsi="宋体" w:eastAsia="宋体" w:cs="宋体"/>
          <w:sz w:val="24"/>
          <w:szCs w:val="24"/>
          <w:highlight w:val="none"/>
        </w:rPr>
        <w:t>有源滤波器对A、B、C三相能分别补偿，具有恢复三相电流平衡的功能，同时中性线滤波能力为相线的三倍。</w:t>
      </w:r>
    </w:p>
    <w:p w14:paraId="494EFF5C">
      <w:pPr>
        <w:pStyle w:val="76"/>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19.</w:t>
      </w:r>
      <w:r>
        <w:rPr>
          <w:rFonts w:hint="eastAsia" w:ascii="宋体" w:hAnsi="宋体" w:eastAsia="宋体" w:cs="宋体"/>
          <w:sz w:val="24"/>
          <w:szCs w:val="24"/>
          <w:highlight w:val="none"/>
        </w:rPr>
        <w:t>有源滤波器要独立于电网阻抗及系统阻抗，不受电网阻抗和系统阻抗变化的影响。</w:t>
      </w:r>
    </w:p>
    <w:p w14:paraId="6D2D7AF4">
      <w:pPr>
        <w:pStyle w:val="76"/>
        <w:pageBreakBefore w:val="0"/>
        <w:kinsoku/>
        <w:wordWrap/>
        <w:topLinePunct w:val="0"/>
        <w:bidi w:val="0"/>
        <w:spacing w:line="400" w:lineRule="exact"/>
        <w:ind w:firstLine="480" w:firstLineChars="200"/>
        <w:rPr>
          <w:rFonts w:hint="eastAsia" w:ascii="宋体" w:hAnsi="宋体" w:eastAsia="宋体" w:cs="宋体"/>
          <w:color w:val="0000FF"/>
          <w:sz w:val="24"/>
          <w:szCs w:val="24"/>
          <w:highlight w:val="none"/>
        </w:rPr>
      </w:pPr>
      <w:r>
        <w:rPr>
          <w:rFonts w:hint="eastAsia" w:ascii="宋体" w:hAnsi="宋体" w:eastAsia="宋体" w:cs="宋体"/>
          <w:sz w:val="24"/>
          <w:szCs w:val="24"/>
          <w:highlight w:val="none"/>
          <w:lang w:val="en-US" w:eastAsia="zh-CN"/>
        </w:rPr>
        <w:t>20.</w:t>
      </w:r>
      <w:r>
        <w:rPr>
          <w:rFonts w:hint="eastAsia" w:ascii="宋体" w:hAnsi="宋体" w:eastAsia="宋体" w:cs="宋体"/>
          <w:sz w:val="24"/>
          <w:szCs w:val="24"/>
          <w:highlight w:val="none"/>
        </w:rPr>
        <w:t>有源滤波器用于消除谐波的容量和补偿无功的容量的比例</w:t>
      </w:r>
      <w:r>
        <w:rPr>
          <w:rFonts w:hint="eastAsia" w:ascii="宋体" w:hAnsi="宋体" w:eastAsia="宋体" w:cs="宋体"/>
          <w:color w:val="000000"/>
          <w:sz w:val="24"/>
          <w:szCs w:val="24"/>
          <w:highlight w:val="none"/>
        </w:rPr>
        <w:t>可以根据现场的实际谐波量大小，设备自动跟踪补偿，也可改为手动自由设定补偿率。</w:t>
      </w:r>
    </w:p>
    <w:p w14:paraId="031A663A">
      <w:pPr>
        <w:pStyle w:val="76"/>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21.</w:t>
      </w:r>
      <w:r>
        <w:rPr>
          <w:rFonts w:hint="eastAsia" w:ascii="宋体" w:hAnsi="宋体" w:eastAsia="宋体" w:cs="宋体"/>
          <w:sz w:val="24"/>
          <w:szCs w:val="24"/>
          <w:highlight w:val="none"/>
        </w:rPr>
        <w:t>有源滤波器能有效的抑制系统的闪变。</w:t>
      </w:r>
    </w:p>
    <w:p w14:paraId="1E5A646D">
      <w:pPr>
        <w:pStyle w:val="76"/>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22.</w:t>
      </w:r>
      <w:r>
        <w:rPr>
          <w:rFonts w:hint="eastAsia" w:ascii="宋体" w:hAnsi="宋体" w:eastAsia="宋体" w:cs="宋体"/>
          <w:sz w:val="24"/>
          <w:szCs w:val="24"/>
          <w:highlight w:val="none"/>
        </w:rPr>
        <w:t>有源滤波器自身的高频载波不能回馈到电网，对其它的系统和设备没有干扰。</w:t>
      </w:r>
    </w:p>
    <w:p w14:paraId="1BDF4094">
      <w:pPr>
        <w:pStyle w:val="76"/>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23.</w:t>
      </w:r>
      <w:r>
        <w:rPr>
          <w:rFonts w:hint="eastAsia" w:ascii="宋体" w:hAnsi="宋体" w:eastAsia="宋体" w:cs="宋体"/>
          <w:sz w:val="24"/>
          <w:szCs w:val="24"/>
          <w:highlight w:val="none"/>
        </w:rPr>
        <w:t>有源滤波器具备免维护功能，能保证长周期稳定运行，控制单元程序具备自检功能。</w:t>
      </w:r>
    </w:p>
    <w:p w14:paraId="08E0379A">
      <w:pPr>
        <w:pStyle w:val="76"/>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24.</w:t>
      </w:r>
      <w:r>
        <w:rPr>
          <w:rFonts w:hint="eastAsia" w:ascii="宋体" w:hAnsi="宋体" w:eastAsia="宋体" w:cs="宋体"/>
          <w:sz w:val="24"/>
          <w:szCs w:val="24"/>
          <w:highlight w:val="none"/>
        </w:rPr>
        <w:t>有源滤波器采用液晶显示面板们在面板上能显示线电压有效值、电压谐波值、电流有效值、电流谐波值、视在功率、功率因数等运行参数。</w:t>
      </w:r>
    </w:p>
    <w:p w14:paraId="45AFF71C">
      <w:pPr>
        <w:pStyle w:val="76"/>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25.</w:t>
      </w:r>
      <w:r>
        <w:rPr>
          <w:rFonts w:hint="eastAsia" w:ascii="宋体" w:hAnsi="宋体" w:eastAsia="宋体" w:cs="宋体"/>
          <w:sz w:val="24"/>
          <w:szCs w:val="24"/>
          <w:highlight w:val="none"/>
        </w:rPr>
        <w:t>当系统断电时，滤波器应自动断开。在系统恢复后，滤波器能自动恢复。</w:t>
      </w:r>
    </w:p>
    <w:p w14:paraId="44FA79D2">
      <w:pPr>
        <w:pStyle w:val="76"/>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26.</w:t>
      </w:r>
      <w:r>
        <w:rPr>
          <w:rFonts w:hint="eastAsia" w:ascii="宋体" w:hAnsi="宋体" w:eastAsia="宋体" w:cs="宋体"/>
          <w:sz w:val="24"/>
          <w:szCs w:val="24"/>
          <w:highlight w:val="none"/>
        </w:rPr>
        <w:t>系统具备快速、完全的故障自检功能，同时自动采取相对应的操作。</w:t>
      </w:r>
    </w:p>
    <w:p w14:paraId="7E477274">
      <w:pPr>
        <w:pStyle w:val="76"/>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27.</w:t>
      </w:r>
      <w:r>
        <w:rPr>
          <w:rFonts w:hint="eastAsia" w:ascii="宋体" w:hAnsi="宋体" w:eastAsia="宋体" w:cs="宋体"/>
          <w:sz w:val="24"/>
          <w:szCs w:val="24"/>
          <w:highlight w:val="none"/>
        </w:rPr>
        <w:t>应具备完整的保护装置，包括过载、过电流、短路、IGBT异常、系统失压、内置电容器过电压等功能。故障出现后机器会自动报警且停止工作不会影响其他设备正常运行。</w:t>
      </w:r>
    </w:p>
    <w:p w14:paraId="4B0A68EC">
      <w:pPr>
        <w:pStyle w:val="76"/>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28.</w:t>
      </w:r>
      <w:r>
        <w:rPr>
          <w:rFonts w:hint="eastAsia" w:ascii="宋体" w:hAnsi="宋体" w:eastAsia="宋体" w:cs="宋体"/>
          <w:sz w:val="24"/>
          <w:szCs w:val="24"/>
          <w:highlight w:val="none"/>
        </w:rPr>
        <w:t>自动限定在额定容量范围内100%输出，如果负载侧谐波电流大于其额定容量，滤波器应能在额定容量内继续输出电流补偿谐波，不发出过载导致设备超载或退出运行。具有缓启动回路，以避免启动瞬间过大的突入电流，并限制该电流在额定范围内。</w:t>
      </w:r>
    </w:p>
    <w:p w14:paraId="65C06D88">
      <w:pPr>
        <w:pStyle w:val="76"/>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29.</w:t>
      </w:r>
      <w:r>
        <w:rPr>
          <w:rFonts w:hint="eastAsia" w:ascii="宋体" w:hAnsi="宋体" w:eastAsia="宋体" w:cs="宋体"/>
          <w:color w:val="000000"/>
          <w:sz w:val="24"/>
          <w:szCs w:val="24"/>
          <w:highlight w:val="none"/>
        </w:rPr>
        <w:t>有源滤波器具备RS485通讯接口并且可以扩展以太网络接口、干接点接口，并设置备用通道，以防止将来增加功能时有通道可用，</w:t>
      </w:r>
      <w:r>
        <w:rPr>
          <w:rFonts w:hint="eastAsia" w:ascii="宋体" w:hAnsi="宋体" w:eastAsia="宋体" w:cs="宋体"/>
          <w:sz w:val="24"/>
          <w:szCs w:val="24"/>
          <w:highlight w:val="none"/>
        </w:rPr>
        <w:t>在中央控制室能显示源滤波器的运行状态。在有源滤波器发生故障时，具有声、光报警功能。</w:t>
      </w:r>
    </w:p>
    <w:p w14:paraId="3CF38509">
      <w:pPr>
        <w:pStyle w:val="75"/>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30.</w:t>
      </w:r>
      <w:r>
        <w:rPr>
          <w:rFonts w:hint="eastAsia" w:ascii="宋体" w:hAnsi="宋体" w:eastAsia="宋体" w:cs="宋体"/>
          <w:sz w:val="24"/>
          <w:szCs w:val="24"/>
          <w:highlight w:val="none"/>
        </w:rPr>
        <w:t>有源滤波器要求采用成熟的IGBT器件制造，投标人在投标文件中提供IGBT的制造商、规格型号等各项技术指标以及IGBT的工作频率。</w:t>
      </w:r>
    </w:p>
    <w:p w14:paraId="151D050D">
      <w:pPr>
        <w:pStyle w:val="75"/>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31.</w:t>
      </w:r>
      <w:r>
        <w:rPr>
          <w:rFonts w:hint="eastAsia" w:ascii="宋体" w:hAnsi="宋体" w:eastAsia="宋体" w:cs="宋体"/>
          <w:sz w:val="24"/>
          <w:szCs w:val="24"/>
          <w:highlight w:val="none"/>
        </w:rPr>
        <w:t>电流互感器符合IEC标准和GB1208-1997。</w:t>
      </w:r>
    </w:p>
    <w:p w14:paraId="3902BB78">
      <w:pPr>
        <w:pStyle w:val="76"/>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32.</w:t>
      </w:r>
      <w:r>
        <w:rPr>
          <w:rFonts w:hint="eastAsia" w:ascii="宋体" w:hAnsi="宋体" w:eastAsia="宋体" w:cs="宋体"/>
          <w:sz w:val="24"/>
          <w:szCs w:val="24"/>
          <w:highlight w:val="none"/>
        </w:rPr>
        <w:t>柜体应设总接地线，其材料用铜。</w:t>
      </w:r>
    </w:p>
    <w:p w14:paraId="342DA664">
      <w:pPr>
        <w:pStyle w:val="76"/>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33.</w:t>
      </w:r>
      <w:r>
        <w:rPr>
          <w:rFonts w:hint="eastAsia" w:ascii="宋体" w:hAnsi="宋体" w:eastAsia="宋体" w:cs="宋体"/>
          <w:sz w:val="24"/>
          <w:szCs w:val="24"/>
          <w:highlight w:val="none"/>
        </w:rPr>
        <w:t>控制回路、CT的二次回路采用690V耐热的RVVSP屏蔽双绞线，导线截面积大于2.5mm</w:t>
      </w:r>
      <w:r>
        <w:rPr>
          <w:rFonts w:hint="eastAsia" w:ascii="宋体" w:hAnsi="宋体" w:eastAsia="宋体" w:cs="宋体"/>
          <w:sz w:val="24"/>
          <w:szCs w:val="24"/>
          <w:highlight w:val="none"/>
          <w:vertAlign w:val="superscript"/>
        </w:rPr>
        <w:t>2</w:t>
      </w:r>
      <w:r>
        <w:rPr>
          <w:rFonts w:hint="eastAsia" w:ascii="宋体" w:hAnsi="宋体" w:eastAsia="宋体" w:cs="宋体"/>
          <w:sz w:val="24"/>
          <w:szCs w:val="24"/>
          <w:highlight w:val="none"/>
        </w:rPr>
        <w:t>，端子排与电缆（电缆芯为硬铜质）的压接方式保证与电缆连接的永久性和可靠性。</w:t>
      </w:r>
    </w:p>
    <w:p w14:paraId="4F52D886">
      <w:pPr>
        <w:pStyle w:val="76"/>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34.</w:t>
      </w:r>
      <w:r>
        <w:rPr>
          <w:rFonts w:hint="eastAsia" w:ascii="宋体" w:hAnsi="宋体" w:eastAsia="宋体" w:cs="宋体"/>
          <w:sz w:val="24"/>
          <w:szCs w:val="24"/>
          <w:highlight w:val="none"/>
        </w:rPr>
        <w:t xml:space="preserve">对CT要求：精度不低于0.5.二次电流为5A的普通CT，支持采用闭环控制以提高精度和便于安装。 </w:t>
      </w:r>
    </w:p>
    <w:p w14:paraId="2C7C2B43">
      <w:pPr>
        <w:pStyle w:val="76"/>
        <w:pageBreakBefore w:val="0"/>
        <w:kinsoku/>
        <w:wordWrap/>
        <w:topLinePunct w:val="0"/>
        <w:bidi w:val="0"/>
        <w:spacing w:line="400" w:lineRule="exact"/>
        <w:ind w:firstLine="480" w:firstLineChars="200"/>
        <w:rPr>
          <w:rFonts w:hint="eastAsia" w:ascii="宋体" w:hAnsi="宋体" w:eastAsia="宋体" w:cs="宋体"/>
          <w:color w:val="000000"/>
          <w:sz w:val="24"/>
          <w:szCs w:val="24"/>
          <w:highlight w:val="none"/>
        </w:rPr>
      </w:pPr>
      <w:r>
        <w:rPr>
          <w:rFonts w:hint="eastAsia" w:ascii="宋体" w:hAnsi="宋体" w:eastAsia="宋体" w:cs="宋体"/>
          <w:sz w:val="24"/>
          <w:szCs w:val="24"/>
          <w:highlight w:val="none"/>
          <w:lang w:val="en-US" w:eastAsia="zh-CN"/>
        </w:rPr>
        <w:t>35.</w:t>
      </w:r>
      <w:r>
        <w:rPr>
          <w:rFonts w:hint="eastAsia" w:ascii="宋体" w:hAnsi="宋体" w:eastAsia="宋体" w:cs="宋体"/>
          <w:color w:val="000000"/>
          <w:sz w:val="24"/>
          <w:szCs w:val="24"/>
          <w:highlight w:val="none"/>
        </w:rPr>
        <w:t>塑壳式断路器包括塑料外壳、操作机构、触头系统、灭弧系统和过电流脱扣器等。</w:t>
      </w:r>
    </w:p>
    <w:p w14:paraId="0E8F8029">
      <w:pPr>
        <w:pageBreakBefore w:val="0"/>
        <w:kinsoku/>
        <w:wordWrap/>
        <w:topLinePunct w:val="0"/>
        <w:bidi w:val="0"/>
        <w:spacing w:line="400" w:lineRule="exact"/>
        <w:ind w:firstLine="480" w:firstLineChars="200"/>
        <w:rPr>
          <w:rFonts w:hint="eastAsia" w:ascii="宋体" w:hAnsi="宋体" w:eastAsia="宋体" w:cs="宋体"/>
          <w:color w:val="000000"/>
          <w:sz w:val="24"/>
          <w:szCs w:val="24"/>
          <w:highlight w:val="none"/>
        </w:rPr>
      </w:pPr>
      <w:r>
        <w:rPr>
          <w:rFonts w:hint="eastAsia" w:ascii="宋体" w:hAnsi="宋体" w:eastAsia="宋体" w:cs="宋体"/>
          <w:sz w:val="24"/>
          <w:szCs w:val="24"/>
          <w:highlight w:val="none"/>
          <w:lang w:val="en-US" w:eastAsia="zh-CN"/>
        </w:rPr>
        <w:t>36.</w:t>
      </w:r>
      <w:r>
        <w:rPr>
          <w:rFonts w:hint="eastAsia" w:ascii="宋体" w:hAnsi="宋体" w:eastAsia="宋体" w:cs="宋体"/>
          <w:color w:val="000000"/>
          <w:sz w:val="24"/>
          <w:szCs w:val="24"/>
          <w:highlight w:val="none"/>
        </w:rPr>
        <w:t>快速熔断器满足设定的额定电流值和控制柜的总额定值。</w:t>
      </w:r>
    </w:p>
    <w:p w14:paraId="135F8034">
      <w:pPr>
        <w:pStyle w:val="76"/>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37.</w:t>
      </w:r>
      <w:r>
        <w:rPr>
          <w:rFonts w:hint="eastAsia" w:ascii="宋体" w:hAnsi="宋体" w:eastAsia="宋体" w:cs="宋体"/>
          <w:sz w:val="24"/>
          <w:szCs w:val="24"/>
          <w:highlight w:val="none"/>
        </w:rPr>
        <w:t>有源滤波器的平均无故障工作时间不少于10年，质保期为12个月，在质保期内成套设备中任何部分属于质量问题而损坏的，投标人均应免费修理及更换。</w:t>
      </w:r>
    </w:p>
    <w:p w14:paraId="68BDA9BF">
      <w:pPr>
        <w:pStyle w:val="76"/>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38.</w:t>
      </w:r>
      <w:r>
        <w:rPr>
          <w:rFonts w:hint="eastAsia" w:ascii="宋体" w:hAnsi="宋体" w:eastAsia="宋体" w:cs="宋体"/>
          <w:sz w:val="24"/>
          <w:szCs w:val="24"/>
          <w:highlight w:val="none"/>
        </w:rPr>
        <w:t>拥有国家认证机构提供的型式试验报告或者国际认证。</w:t>
      </w:r>
    </w:p>
    <w:p w14:paraId="71D18423">
      <w:pPr>
        <w:pStyle w:val="76"/>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39.</w:t>
      </w:r>
      <w:r>
        <w:rPr>
          <w:rFonts w:hint="eastAsia" w:ascii="宋体" w:hAnsi="宋体" w:eastAsia="宋体" w:cs="宋体"/>
          <w:sz w:val="24"/>
          <w:szCs w:val="24"/>
          <w:highlight w:val="none"/>
        </w:rPr>
        <w:t>具有谐波滤除效果监测、对比功能。</w:t>
      </w:r>
    </w:p>
    <w:p w14:paraId="617715E3">
      <w:pPr>
        <w:pStyle w:val="76"/>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40.</w:t>
      </w:r>
      <w:r>
        <w:rPr>
          <w:rFonts w:hint="eastAsia" w:ascii="宋体" w:hAnsi="宋体" w:eastAsia="宋体" w:cs="宋体"/>
          <w:sz w:val="24"/>
          <w:szCs w:val="24"/>
          <w:highlight w:val="none"/>
        </w:rPr>
        <w:t>监测数据能够通过4G/5G远程传输数据库，并通过数据库将治理前后数据在手机APP端和电能PC端进线展示、对比、分析；出具电能质量月报表。</w:t>
      </w:r>
    </w:p>
    <w:p w14:paraId="59D890C7">
      <w:pPr>
        <w:pStyle w:val="76"/>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41.</w:t>
      </w:r>
      <w:r>
        <w:rPr>
          <w:rFonts w:hint="eastAsia" w:ascii="宋体" w:hAnsi="宋体" w:eastAsia="宋体" w:cs="宋体"/>
          <w:sz w:val="24"/>
          <w:szCs w:val="24"/>
          <w:highlight w:val="none"/>
        </w:rPr>
        <w:t>治理后需委托有CMA/CNAS资质第三方进行10kV总进线电能质量测试，测试报告需供电局认可。</w:t>
      </w:r>
    </w:p>
    <w:p w14:paraId="3FF30983">
      <w:pPr>
        <w:pageBreakBefore w:val="0"/>
        <w:kinsoku/>
        <w:wordWrap/>
        <w:topLinePunct w:val="0"/>
        <w:bidi w:val="0"/>
        <w:spacing w:line="400" w:lineRule="exact"/>
        <w:jc w:val="center"/>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pPr>
    </w:p>
    <w:p w14:paraId="46751320">
      <w:pPr>
        <w:pageBreakBefore w:val="0"/>
        <w:kinsoku/>
        <w:wordWrap/>
        <w:topLinePunct w:val="0"/>
        <w:bidi w:val="0"/>
        <w:spacing w:line="400" w:lineRule="exact"/>
        <w:jc w:val="center"/>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pPr>
    </w:p>
    <w:p w14:paraId="5161A5CD">
      <w:pPr>
        <w:pageBreakBefore w:val="0"/>
        <w:kinsoku/>
        <w:wordWrap/>
        <w:topLinePunct w:val="0"/>
        <w:bidi w:val="0"/>
        <w:spacing w:line="400" w:lineRule="exact"/>
        <w:jc w:val="center"/>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pPr>
    </w:p>
    <w:p w14:paraId="3D4AD387">
      <w:pPr>
        <w:pageBreakBefore w:val="0"/>
        <w:kinsoku/>
        <w:wordWrap/>
        <w:topLinePunct w:val="0"/>
        <w:bidi w:val="0"/>
        <w:spacing w:line="400" w:lineRule="exact"/>
        <w:jc w:val="center"/>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pPr>
    </w:p>
    <w:p w14:paraId="507D54F9">
      <w:pPr>
        <w:pageBreakBefore w:val="0"/>
        <w:kinsoku/>
        <w:wordWrap/>
        <w:topLinePunct w:val="0"/>
        <w:bidi w:val="0"/>
        <w:spacing w:line="400" w:lineRule="exact"/>
        <w:jc w:val="center"/>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pPr>
    </w:p>
    <w:p w14:paraId="399E4956">
      <w:pPr>
        <w:pageBreakBefore w:val="0"/>
        <w:kinsoku/>
        <w:wordWrap/>
        <w:topLinePunct w:val="0"/>
        <w:bidi w:val="0"/>
        <w:spacing w:line="400" w:lineRule="exact"/>
        <w:jc w:val="center"/>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pPr>
    </w:p>
    <w:p w14:paraId="48F1BD79">
      <w:pPr>
        <w:pageBreakBefore w:val="0"/>
        <w:kinsoku/>
        <w:wordWrap/>
        <w:topLinePunct w:val="0"/>
        <w:bidi w:val="0"/>
        <w:spacing w:line="400" w:lineRule="exact"/>
        <w:jc w:val="center"/>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pPr>
    </w:p>
    <w:p w14:paraId="01F60A78">
      <w:pPr>
        <w:pageBreakBefore w:val="0"/>
        <w:kinsoku/>
        <w:wordWrap/>
        <w:topLinePunct w:val="0"/>
        <w:bidi w:val="0"/>
        <w:spacing w:line="400" w:lineRule="exact"/>
        <w:jc w:val="center"/>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pPr>
    </w:p>
    <w:p w14:paraId="0CE4F997">
      <w:pPr>
        <w:pageBreakBefore w:val="0"/>
        <w:kinsoku/>
        <w:wordWrap/>
        <w:topLinePunct w:val="0"/>
        <w:bidi w:val="0"/>
        <w:spacing w:line="400" w:lineRule="exact"/>
        <w:ind w:firstLine="1687" w:firstLineChars="700"/>
        <w:jc w:val="both"/>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pPr>
    </w:p>
    <w:p w14:paraId="1FE12652">
      <w:pPr>
        <w:pageBreakBefore w:val="0"/>
        <w:kinsoku/>
        <w:wordWrap/>
        <w:topLinePunct w:val="0"/>
        <w:bidi w:val="0"/>
        <w:spacing w:line="400" w:lineRule="exact"/>
        <w:ind w:firstLine="1687" w:firstLineChars="700"/>
        <w:jc w:val="both"/>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pPr>
    </w:p>
    <w:p w14:paraId="73E3A8CE">
      <w:pPr>
        <w:pageBreakBefore w:val="0"/>
        <w:kinsoku/>
        <w:wordWrap/>
        <w:topLinePunct w:val="0"/>
        <w:bidi w:val="0"/>
        <w:spacing w:line="400" w:lineRule="exact"/>
        <w:ind w:firstLine="1687" w:firstLineChars="700"/>
        <w:jc w:val="both"/>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pPr>
    </w:p>
    <w:p w14:paraId="321997AE">
      <w:pPr>
        <w:keepNext w:val="0"/>
        <w:keepLines w:val="0"/>
        <w:pageBreakBefore w:val="0"/>
        <w:widowControl w:val="0"/>
        <w:kinsoku/>
        <w:wordWrap/>
        <w:overflowPunct/>
        <w:topLinePunct w:val="0"/>
        <w:autoSpaceDE/>
        <w:autoSpaceDN/>
        <w:bidi w:val="0"/>
        <w:adjustRightInd/>
        <w:snapToGrid/>
        <w:spacing w:before="157" w:beforeLines="50" w:after="157" w:afterLines="50" w:line="400" w:lineRule="exact"/>
        <w:ind w:firstLine="2530" w:firstLineChars="700"/>
        <w:jc w:val="both"/>
        <w:textAlignment w:val="auto"/>
        <w:rPr>
          <w:rFonts w:hint="eastAsia" w:ascii="宋体" w:hAnsi="宋体" w:eastAsia="宋体" w:cs="宋体"/>
          <w:b/>
          <w:bCs/>
          <w:color w:val="0D0D0D" w:themeColor="text1" w:themeTint="F2"/>
          <w:sz w:val="36"/>
          <w:szCs w:val="36"/>
          <w:highlight w:val="none"/>
          <w14:textFill>
            <w14:solidFill>
              <w14:schemeClr w14:val="tx1">
                <w14:lumMod w14:val="95000"/>
                <w14:lumOff w14:val="5000"/>
              </w14:schemeClr>
            </w14:solidFill>
          </w14:textFill>
        </w:rPr>
      </w:pPr>
      <w:r>
        <w:rPr>
          <w:rFonts w:hint="eastAsia" w:ascii="宋体" w:hAnsi="宋体" w:eastAsia="宋体" w:cs="宋体"/>
          <w:b/>
          <w:bCs/>
          <w:color w:val="0D0D0D" w:themeColor="text1" w:themeTint="F2"/>
          <w:sz w:val="36"/>
          <w:szCs w:val="36"/>
          <w:highlight w:val="none"/>
          <w14:textFill>
            <w14:solidFill>
              <w14:schemeClr w14:val="tx1">
                <w14:lumMod w14:val="95000"/>
                <w14:lumOff w14:val="5000"/>
              </w14:schemeClr>
            </w14:solidFill>
          </w14:textFill>
        </w:rPr>
        <w:t>第五章   投标文件格式</w:t>
      </w:r>
    </w:p>
    <w:p w14:paraId="4F9CCD06">
      <w:pPr>
        <w:pageBreakBefore w:val="0"/>
        <w:kinsoku/>
        <w:wordWrap/>
        <w:topLinePunct w:val="0"/>
        <w:bidi w:val="0"/>
        <w:spacing w:line="400" w:lineRule="exact"/>
        <w:ind w:right="-334" w:rightChars="-159"/>
        <w:jc w:val="center"/>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pPr>
    </w:p>
    <w:p w14:paraId="512EC213">
      <w:pPr>
        <w:pageBreakBefore w:val="0"/>
        <w:kinsoku/>
        <w:wordWrap/>
        <w:topLinePunct w:val="0"/>
        <w:bidi w:val="0"/>
        <w:spacing w:line="400" w:lineRule="exact"/>
        <w:jc w:val="center"/>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pPr>
    </w:p>
    <w:p w14:paraId="1FF480B7">
      <w:pPr>
        <w:pageBreakBefore w:val="0"/>
        <w:kinsoku/>
        <w:wordWrap/>
        <w:topLinePunct w:val="0"/>
        <w:bidi w:val="0"/>
        <w:spacing w:line="400" w:lineRule="exact"/>
        <w:jc w:val="center"/>
        <w:rPr>
          <w:rFonts w:hint="eastAsia" w:ascii="宋体" w:hAnsi="宋体" w:eastAsia="宋体" w:cs="宋体"/>
          <w:bCs/>
          <w:sz w:val="24"/>
          <w:szCs w:val="24"/>
          <w:highlight w:val="none"/>
        </w:rPr>
      </w:pPr>
    </w:p>
    <w:p w14:paraId="053DFD95">
      <w:pPr>
        <w:pStyle w:val="49"/>
        <w:keepNext w:val="0"/>
        <w:keepLines w:val="0"/>
        <w:pageBreakBefore w:val="0"/>
        <w:widowControl w:val="0"/>
        <w:kinsoku/>
        <w:wordWrap/>
        <w:overflowPunct/>
        <w:topLinePunct w:val="0"/>
        <w:autoSpaceDE/>
        <w:autoSpaceDN/>
        <w:bidi w:val="0"/>
        <w:adjustRightInd/>
        <w:snapToGrid/>
        <w:spacing w:before="157" w:beforeLines="50" w:after="157" w:afterLines="50" w:line="400" w:lineRule="exact"/>
        <w:ind w:left="542" w:hanging="542"/>
        <w:jc w:val="center"/>
        <w:textAlignment w:val="auto"/>
        <w:rPr>
          <w:rFonts w:hint="eastAsia" w:ascii="宋体" w:hAnsi="宋体" w:eastAsia="宋体" w:cs="宋体"/>
          <w:b/>
          <w:sz w:val="44"/>
          <w:szCs w:val="44"/>
          <w:highlight w:val="none"/>
          <w:lang w:val="en-US" w:eastAsia="zh-CN"/>
        </w:rPr>
      </w:pPr>
      <w:r>
        <w:rPr>
          <w:rFonts w:hint="eastAsia" w:ascii="宋体" w:hAnsi="宋体" w:eastAsia="宋体" w:cs="宋体"/>
          <w:b/>
          <w:sz w:val="44"/>
          <w:szCs w:val="44"/>
          <w:highlight w:val="none"/>
          <w:lang w:val="en-US" w:eastAsia="zh-CN"/>
        </w:rPr>
        <w:t>南通市通州区水务有限公司</w:t>
      </w:r>
    </w:p>
    <w:p w14:paraId="464EA91B">
      <w:pPr>
        <w:pStyle w:val="49"/>
        <w:keepNext w:val="0"/>
        <w:keepLines w:val="0"/>
        <w:pageBreakBefore w:val="0"/>
        <w:widowControl w:val="0"/>
        <w:kinsoku/>
        <w:wordWrap/>
        <w:overflowPunct/>
        <w:topLinePunct w:val="0"/>
        <w:autoSpaceDE/>
        <w:autoSpaceDN/>
        <w:bidi w:val="0"/>
        <w:adjustRightInd/>
        <w:snapToGrid/>
        <w:spacing w:before="157" w:beforeLines="50" w:after="157" w:afterLines="50" w:line="400" w:lineRule="exact"/>
        <w:ind w:left="542" w:hanging="542"/>
        <w:jc w:val="center"/>
        <w:textAlignment w:val="auto"/>
        <w:rPr>
          <w:rFonts w:hint="eastAsia" w:ascii="宋体" w:hAnsi="宋体" w:eastAsia="宋体" w:cs="宋体"/>
          <w:b/>
          <w:sz w:val="44"/>
          <w:szCs w:val="44"/>
          <w:highlight w:val="none"/>
        </w:rPr>
      </w:pPr>
      <w:r>
        <w:rPr>
          <w:rFonts w:hint="eastAsia" w:ascii="宋体" w:hAnsi="宋体" w:eastAsia="宋体" w:cs="宋体"/>
          <w:b/>
          <w:sz w:val="44"/>
          <w:szCs w:val="44"/>
          <w:highlight w:val="none"/>
          <w:lang w:val="en-US" w:eastAsia="zh-CN"/>
        </w:rPr>
        <w:t>0.4KV有源滤波器成套设备采购及安装</w:t>
      </w:r>
      <w:r>
        <w:rPr>
          <w:rFonts w:hint="eastAsia" w:ascii="宋体" w:hAnsi="宋体" w:eastAsia="宋体" w:cs="宋体"/>
          <w:b/>
          <w:sz w:val="44"/>
          <w:szCs w:val="44"/>
          <w:highlight w:val="none"/>
        </w:rPr>
        <w:t>项目</w:t>
      </w:r>
    </w:p>
    <w:p w14:paraId="2BAD4850">
      <w:pPr>
        <w:keepNext w:val="0"/>
        <w:keepLines w:val="0"/>
        <w:pageBreakBefore w:val="0"/>
        <w:widowControl w:val="0"/>
        <w:kinsoku/>
        <w:wordWrap/>
        <w:overflowPunct/>
        <w:topLinePunct w:val="0"/>
        <w:autoSpaceDE/>
        <w:autoSpaceDN/>
        <w:bidi w:val="0"/>
        <w:adjustRightInd/>
        <w:snapToGrid/>
        <w:spacing w:before="157" w:beforeLines="50" w:after="157" w:afterLines="50" w:line="400" w:lineRule="exact"/>
        <w:jc w:val="center"/>
        <w:textAlignment w:val="auto"/>
        <w:rPr>
          <w:rFonts w:hint="eastAsia" w:ascii="宋体" w:hAnsi="宋体" w:eastAsia="宋体" w:cs="宋体"/>
          <w:bCs/>
          <w:sz w:val="44"/>
          <w:szCs w:val="44"/>
          <w:highlight w:val="none"/>
        </w:rPr>
      </w:pPr>
    </w:p>
    <w:p w14:paraId="7B1C629A">
      <w:pPr>
        <w:keepNext w:val="0"/>
        <w:keepLines w:val="0"/>
        <w:pageBreakBefore w:val="0"/>
        <w:widowControl w:val="0"/>
        <w:kinsoku/>
        <w:wordWrap/>
        <w:overflowPunct/>
        <w:topLinePunct w:val="0"/>
        <w:autoSpaceDE/>
        <w:autoSpaceDN/>
        <w:bidi w:val="0"/>
        <w:adjustRightInd/>
        <w:snapToGrid/>
        <w:spacing w:before="157" w:beforeLines="50" w:after="157" w:afterLines="50" w:line="400" w:lineRule="exact"/>
        <w:ind w:right="-334" w:rightChars="-159"/>
        <w:textAlignment w:val="auto"/>
        <w:rPr>
          <w:rFonts w:hint="eastAsia" w:ascii="宋体" w:hAnsi="宋体" w:eastAsia="宋体" w:cs="宋体"/>
          <w:b/>
          <w:bCs/>
          <w:color w:val="0D0D0D" w:themeColor="text1" w:themeTint="F2"/>
          <w:sz w:val="44"/>
          <w:szCs w:val="44"/>
          <w:highlight w:val="none"/>
          <w14:textFill>
            <w14:solidFill>
              <w14:schemeClr w14:val="tx1">
                <w14:lumMod w14:val="95000"/>
                <w14:lumOff w14:val="5000"/>
              </w14:schemeClr>
            </w14:solidFill>
          </w14:textFill>
        </w:rPr>
      </w:pPr>
    </w:p>
    <w:p w14:paraId="59611107">
      <w:pPr>
        <w:keepNext w:val="0"/>
        <w:keepLines w:val="0"/>
        <w:pageBreakBefore w:val="0"/>
        <w:widowControl w:val="0"/>
        <w:kinsoku/>
        <w:wordWrap/>
        <w:overflowPunct/>
        <w:topLinePunct w:val="0"/>
        <w:autoSpaceDE/>
        <w:autoSpaceDN/>
        <w:bidi w:val="0"/>
        <w:adjustRightInd/>
        <w:snapToGrid/>
        <w:spacing w:before="157" w:beforeLines="50" w:after="157" w:afterLines="50" w:line="400" w:lineRule="exact"/>
        <w:ind w:right="-334" w:rightChars="-159"/>
        <w:textAlignment w:val="auto"/>
        <w:rPr>
          <w:rFonts w:hint="eastAsia" w:ascii="宋体" w:hAnsi="宋体" w:eastAsia="宋体" w:cs="宋体"/>
          <w:b/>
          <w:bCs/>
          <w:color w:val="0D0D0D" w:themeColor="text1" w:themeTint="F2"/>
          <w:sz w:val="44"/>
          <w:szCs w:val="44"/>
          <w:highlight w:val="none"/>
          <w14:textFill>
            <w14:solidFill>
              <w14:schemeClr w14:val="tx1">
                <w14:lumMod w14:val="95000"/>
                <w14:lumOff w14:val="5000"/>
              </w14:schemeClr>
            </w14:solidFill>
          </w14:textFill>
        </w:rPr>
      </w:pPr>
    </w:p>
    <w:p w14:paraId="2453EBF7">
      <w:pPr>
        <w:keepNext w:val="0"/>
        <w:keepLines w:val="0"/>
        <w:pageBreakBefore w:val="0"/>
        <w:widowControl w:val="0"/>
        <w:kinsoku/>
        <w:wordWrap/>
        <w:overflowPunct/>
        <w:topLinePunct w:val="0"/>
        <w:autoSpaceDE/>
        <w:autoSpaceDN/>
        <w:bidi w:val="0"/>
        <w:adjustRightInd/>
        <w:snapToGrid/>
        <w:spacing w:before="157" w:beforeLines="50" w:after="157" w:afterLines="50" w:line="400" w:lineRule="exact"/>
        <w:ind w:right="-334" w:rightChars="-159"/>
        <w:jc w:val="center"/>
        <w:textAlignment w:val="auto"/>
        <w:rPr>
          <w:rFonts w:hint="eastAsia" w:ascii="宋体" w:hAnsi="宋体" w:eastAsia="宋体" w:cs="宋体"/>
          <w:bCs/>
          <w:color w:val="0D0D0D" w:themeColor="text1" w:themeTint="F2"/>
          <w:sz w:val="44"/>
          <w:szCs w:val="44"/>
          <w:highlight w:val="none"/>
          <w14:textFill>
            <w14:solidFill>
              <w14:schemeClr w14:val="tx1">
                <w14:lumMod w14:val="95000"/>
                <w14:lumOff w14:val="5000"/>
              </w14:schemeClr>
            </w14:solidFill>
          </w14:textFill>
        </w:rPr>
      </w:pPr>
    </w:p>
    <w:p w14:paraId="5C7B96E1">
      <w:pPr>
        <w:pageBreakBefore w:val="0"/>
        <w:kinsoku/>
        <w:wordWrap/>
        <w:topLinePunct w:val="0"/>
        <w:bidi w:val="0"/>
        <w:spacing w:line="400" w:lineRule="exact"/>
        <w:ind w:right="-334" w:rightChars="-159"/>
        <w:jc w:val="center"/>
        <w:rPr>
          <w:rFonts w:hint="eastAsia" w:ascii="宋体" w:hAnsi="宋体" w:eastAsia="宋体" w:cs="宋体"/>
          <w:bCs/>
          <w:color w:val="0D0D0D" w:themeColor="text1" w:themeTint="F2"/>
          <w:sz w:val="24"/>
          <w:szCs w:val="24"/>
          <w:highlight w:val="none"/>
          <w14:textFill>
            <w14:solidFill>
              <w14:schemeClr w14:val="tx1">
                <w14:lumMod w14:val="95000"/>
                <w14:lumOff w14:val="5000"/>
              </w14:schemeClr>
            </w14:solidFill>
          </w14:textFill>
        </w:rPr>
      </w:pPr>
    </w:p>
    <w:p w14:paraId="787ACEC7">
      <w:pPr>
        <w:pageBreakBefore w:val="0"/>
        <w:kinsoku/>
        <w:wordWrap/>
        <w:topLinePunct w:val="0"/>
        <w:bidi w:val="0"/>
        <w:spacing w:line="400" w:lineRule="exact"/>
        <w:ind w:right="-334" w:rightChars="-159"/>
        <w:jc w:val="center"/>
        <w:rPr>
          <w:rFonts w:hint="eastAsia" w:ascii="宋体" w:hAnsi="宋体" w:eastAsia="宋体" w:cs="宋体"/>
          <w:bCs/>
          <w:color w:val="0D0D0D" w:themeColor="text1" w:themeTint="F2"/>
          <w:sz w:val="24"/>
          <w:szCs w:val="24"/>
          <w:highlight w:val="none"/>
          <w14:textFill>
            <w14:solidFill>
              <w14:schemeClr w14:val="tx1">
                <w14:lumMod w14:val="95000"/>
                <w14:lumOff w14:val="5000"/>
              </w14:schemeClr>
            </w14:solidFill>
          </w14:textFill>
        </w:rPr>
      </w:pPr>
    </w:p>
    <w:p w14:paraId="3F13F2B0">
      <w:pPr>
        <w:pageBreakBefore w:val="0"/>
        <w:kinsoku/>
        <w:wordWrap/>
        <w:topLinePunct w:val="0"/>
        <w:bidi w:val="0"/>
        <w:spacing w:line="400" w:lineRule="exact"/>
        <w:ind w:right="-334" w:rightChars="-159"/>
        <w:jc w:val="center"/>
        <w:rPr>
          <w:rFonts w:hint="eastAsia" w:ascii="宋体" w:hAnsi="宋体" w:eastAsia="宋体" w:cs="宋体"/>
          <w:bCs/>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bCs/>
          <w:color w:val="0D0D0D" w:themeColor="text1" w:themeTint="F2"/>
          <w:sz w:val="24"/>
          <w:szCs w:val="24"/>
          <w:highlight w:val="none"/>
          <w14:textFill>
            <w14:solidFill>
              <w14:schemeClr w14:val="tx1">
                <w14:lumMod w14:val="95000"/>
                <w14:lumOff w14:val="5000"/>
              </w14:schemeClr>
            </w14:solidFill>
          </w14:textFill>
        </w:rPr>
        <w:t>资格审查文件/价格标文件</w:t>
      </w:r>
    </w:p>
    <w:p w14:paraId="59607743">
      <w:pPr>
        <w:pageBreakBefore w:val="0"/>
        <w:kinsoku/>
        <w:wordWrap/>
        <w:topLinePunct w:val="0"/>
        <w:bidi w:val="0"/>
        <w:spacing w:line="400" w:lineRule="exact"/>
        <w:ind w:right="-334" w:rightChars="-159"/>
        <w:jc w:val="center"/>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pPr>
    </w:p>
    <w:p w14:paraId="3ED6C134">
      <w:pPr>
        <w:pageBreakBefore w:val="0"/>
        <w:kinsoku/>
        <w:wordWrap/>
        <w:topLinePunct w:val="0"/>
        <w:bidi w:val="0"/>
        <w:spacing w:line="400" w:lineRule="exact"/>
        <w:ind w:right="-334" w:rightChars="-159"/>
        <w:jc w:val="center"/>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pPr>
    </w:p>
    <w:p w14:paraId="7FAD8609">
      <w:pPr>
        <w:pageBreakBefore w:val="0"/>
        <w:kinsoku/>
        <w:wordWrap/>
        <w:topLinePunct w:val="0"/>
        <w:bidi w:val="0"/>
        <w:spacing w:line="400" w:lineRule="exact"/>
        <w:ind w:right="-334" w:rightChars="-159"/>
        <w:jc w:val="center"/>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pPr>
    </w:p>
    <w:p w14:paraId="67DB3D6B">
      <w:pPr>
        <w:pStyle w:val="10"/>
        <w:pageBreakBefore w:val="0"/>
        <w:kinsoku/>
        <w:wordWrap/>
        <w:topLinePunct w:val="0"/>
        <w:bidi w:val="0"/>
        <w:spacing w:line="400" w:lineRule="exact"/>
        <w:rPr>
          <w:rFonts w:hint="eastAsia" w:ascii="宋体" w:hAnsi="宋体" w:eastAsia="宋体" w:cs="宋体"/>
          <w:sz w:val="24"/>
          <w:szCs w:val="24"/>
          <w:highlight w:val="none"/>
        </w:rPr>
      </w:pPr>
    </w:p>
    <w:p w14:paraId="34853F24">
      <w:pPr>
        <w:pStyle w:val="11"/>
        <w:pageBreakBefore w:val="0"/>
        <w:kinsoku/>
        <w:wordWrap/>
        <w:topLinePunct w:val="0"/>
        <w:bidi w:val="0"/>
        <w:spacing w:line="400" w:lineRule="exact"/>
        <w:rPr>
          <w:rFonts w:hint="eastAsia" w:ascii="宋体" w:hAnsi="宋体" w:eastAsia="宋体" w:cs="宋体"/>
          <w:sz w:val="24"/>
          <w:szCs w:val="24"/>
          <w:highlight w:val="none"/>
        </w:rPr>
      </w:pPr>
    </w:p>
    <w:p w14:paraId="0FC432EB">
      <w:pPr>
        <w:pageBreakBefore w:val="0"/>
        <w:kinsoku/>
        <w:wordWrap/>
        <w:topLinePunct w:val="0"/>
        <w:bidi w:val="0"/>
        <w:spacing w:line="400" w:lineRule="exact"/>
        <w:ind w:right="-334" w:rightChars="-159"/>
        <w:jc w:val="center"/>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pPr>
    </w:p>
    <w:p w14:paraId="3DDF13E1">
      <w:pPr>
        <w:pageBreakBefore w:val="0"/>
        <w:kinsoku/>
        <w:wordWrap/>
        <w:topLinePunct w:val="0"/>
        <w:bidi w:val="0"/>
        <w:spacing w:line="400" w:lineRule="exact"/>
        <w:ind w:right="-334" w:rightChars="-159" w:firstLine="470" w:firstLineChars="196"/>
        <w:rPr>
          <w:rFonts w:hint="eastAsia" w:ascii="宋体" w:hAnsi="宋体" w:eastAsia="宋体" w:cs="宋体"/>
          <w:bCs/>
          <w:color w:val="0D0D0D" w:themeColor="text1" w:themeTint="F2"/>
          <w:sz w:val="24"/>
          <w:szCs w:val="24"/>
          <w:highlight w:val="none"/>
          <w:u w:val="single"/>
          <w14:textFill>
            <w14:solidFill>
              <w14:schemeClr w14:val="tx1">
                <w14:lumMod w14:val="95000"/>
                <w14:lumOff w14:val="5000"/>
              </w14:schemeClr>
            </w14:solidFill>
          </w14:textFill>
        </w:rPr>
      </w:pPr>
      <w:r>
        <w:rPr>
          <w:rFonts w:hint="eastAsia" w:ascii="宋体" w:hAnsi="宋体" w:eastAsia="宋体" w:cs="宋体"/>
          <w:bCs/>
          <w:color w:val="0D0D0D" w:themeColor="text1" w:themeTint="F2"/>
          <w:sz w:val="24"/>
          <w:szCs w:val="24"/>
          <w:highlight w:val="none"/>
          <w14:textFill>
            <w14:solidFill>
              <w14:schemeClr w14:val="tx1">
                <w14:lumMod w14:val="95000"/>
                <w14:lumOff w14:val="5000"/>
              </w14:schemeClr>
            </w14:solidFill>
          </w14:textFill>
        </w:rPr>
        <w:t>投标人（盖章）：</w:t>
      </w:r>
    </w:p>
    <w:p w14:paraId="73AFFED4">
      <w:pPr>
        <w:pageBreakBefore w:val="0"/>
        <w:kinsoku/>
        <w:wordWrap/>
        <w:topLinePunct w:val="0"/>
        <w:bidi w:val="0"/>
        <w:spacing w:line="400" w:lineRule="exact"/>
        <w:ind w:right="-334" w:rightChars="-159" w:firstLine="470" w:firstLineChars="196"/>
        <w:rPr>
          <w:rFonts w:hint="eastAsia" w:ascii="宋体" w:hAnsi="宋体" w:eastAsia="宋体" w:cs="宋体"/>
          <w:bCs/>
          <w:color w:val="0D0D0D" w:themeColor="text1" w:themeTint="F2"/>
          <w:sz w:val="24"/>
          <w:szCs w:val="24"/>
          <w:highlight w:val="none"/>
          <w:u w:val="single"/>
          <w14:textFill>
            <w14:solidFill>
              <w14:schemeClr w14:val="tx1">
                <w14:lumMod w14:val="95000"/>
                <w14:lumOff w14:val="5000"/>
              </w14:schemeClr>
            </w14:solidFill>
          </w14:textFill>
        </w:rPr>
      </w:pPr>
    </w:p>
    <w:p w14:paraId="563BD177">
      <w:pPr>
        <w:pageBreakBefore w:val="0"/>
        <w:kinsoku/>
        <w:wordWrap/>
        <w:topLinePunct w:val="0"/>
        <w:bidi w:val="0"/>
        <w:spacing w:line="400" w:lineRule="exact"/>
        <w:ind w:right="-334" w:rightChars="-159" w:firstLine="470" w:firstLineChars="196"/>
        <w:rPr>
          <w:rFonts w:hint="eastAsia" w:ascii="宋体" w:hAnsi="宋体" w:eastAsia="宋体" w:cs="宋体"/>
          <w:bCs/>
          <w:color w:val="0D0D0D" w:themeColor="text1" w:themeTint="F2"/>
          <w:sz w:val="24"/>
          <w:szCs w:val="24"/>
          <w:highlight w:val="none"/>
          <w:u w:val="single"/>
          <w14:textFill>
            <w14:solidFill>
              <w14:schemeClr w14:val="tx1">
                <w14:lumMod w14:val="95000"/>
                <w14:lumOff w14:val="5000"/>
              </w14:schemeClr>
            </w14:solidFill>
          </w14:textFill>
        </w:rPr>
      </w:pPr>
      <w:r>
        <w:rPr>
          <w:rFonts w:hint="eastAsia" w:ascii="宋体" w:hAnsi="宋体" w:eastAsia="宋体" w:cs="宋体"/>
          <w:bCs/>
          <w:color w:val="0D0D0D" w:themeColor="text1" w:themeTint="F2"/>
          <w:sz w:val="24"/>
          <w:szCs w:val="24"/>
          <w:highlight w:val="none"/>
          <w14:textFill>
            <w14:solidFill>
              <w14:schemeClr w14:val="tx1">
                <w14:lumMod w14:val="95000"/>
                <w14:lumOff w14:val="5000"/>
              </w14:schemeClr>
            </w14:solidFill>
          </w14:textFill>
        </w:rPr>
        <w:t>法定代表人或委托代理人（签字或盖章）：</w:t>
      </w:r>
    </w:p>
    <w:p w14:paraId="5419D639">
      <w:pPr>
        <w:pageBreakBefore w:val="0"/>
        <w:kinsoku/>
        <w:wordWrap/>
        <w:topLinePunct w:val="0"/>
        <w:bidi w:val="0"/>
        <w:spacing w:line="400" w:lineRule="exact"/>
        <w:ind w:right="-334" w:rightChars="-159" w:firstLine="470" w:firstLineChars="196"/>
        <w:rPr>
          <w:rFonts w:hint="eastAsia" w:ascii="宋体" w:hAnsi="宋体" w:eastAsia="宋体" w:cs="宋体"/>
          <w:bCs/>
          <w:color w:val="0D0D0D" w:themeColor="text1" w:themeTint="F2"/>
          <w:sz w:val="24"/>
          <w:szCs w:val="24"/>
          <w:highlight w:val="none"/>
          <w:u w:val="single"/>
          <w14:textFill>
            <w14:solidFill>
              <w14:schemeClr w14:val="tx1">
                <w14:lumMod w14:val="95000"/>
                <w14:lumOff w14:val="5000"/>
              </w14:schemeClr>
            </w14:solidFill>
          </w14:textFill>
        </w:rPr>
      </w:pPr>
    </w:p>
    <w:p w14:paraId="335B72FF">
      <w:pPr>
        <w:pageBreakBefore w:val="0"/>
        <w:kinsoku/>
        <w:wordWrap/>
        <w:topLinePunct w:val="0"/>
        <w:bidi w:val="0"/>
        <w:spacing w:line="400" w:lineRule="exact"/>
        <w:ind w:right="-334" w:rightChars="-159" w:firstLine="468" w:firstLineChars="195"/>
        <w:rPr>
          <w:rFonts w:hint="eastAsia" w:ascii="宋体" w:hAnsi="宋体" w:eastAsia="宋体" w:cs="宋体"/>
          <w:bCs/>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bCs/>
          <w:color w:val="0D0D0D" w:themeColor="text1" w:themeTint="F2"/>
          <w:sz w:val="24"/>
          <w:szCs w:val="24"/>
          <w:highlight w:val="none"/>
          <w14:textFill>
            <w14:solidFill>
              <w14:schemeClr w14:val="tx1">
                <w14:lumMod w14:val="95000"/>
                <w14:lumOff w14:val="5000"/>
              </w14:schemeClr>
            </w14:solidFill>
          </w14:textFill>
        </w:rPr>
        <w:t>日期：年月日</w:t>
      </w:r>
    </w:p>
    <w:p w14:paraId="0827E5D7">
      <w:pPr>
        <w:pageBreakBefore w:val="0"/>
        <w:kinsoku/>
        <w:wordWrap/>
        <w:topLinePunct w:val="0"/>
        <w:bidi w:val="0"/>
        <w:spacing w:line="400" w:lineRule="exact"/>
        <w:ind w:right="-334" w:rightChars="-159"/>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pPr>
    </w:p>
    <w:p w14:paraId="38BC3AC1">
      <w:pPr>
        <w:pStyle w:val="4"/>
        <w:pageBreakBefore w:val="0"/>
        <w:kinsoku/>
        <w:wordWrap/>
        <w:topLinePunct w:val="0"/>
        <w:bidi w:val="0"/>
        <w:spacing w:line="400" w:lineRule="exact"/>
        <w:jc w:val="both"/>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bookmarkStart w:id="16" w:name="_Toc329181719"/>
      <w:bookmarkStart w:id="17" w:name="_Toc329181721"/>
    </w:p>
    <w:p w14:paraId="1E56CF9A">
      <w:pPr>
        <w:rPr>
          <w:rFonts w:hint="eastAsia"/>
          <w:highlight w:val="none"/>
        </w:rPr>
      </w:pPr>
    </w:p>
    <w:p w14:paraId="0009E148">
      <w:pPr>
        <w:pStyle w:val="4"/>
        <w:pageBreakBefore w:val="0"/>
        <w:kinsoku/>
        <w:wordWrap/>
        <w:topLinePunct w:val="0"/>
        <w:bidi w:val="0"/>
        <w:spacing w:line="400" w:lineRule="exact"/>
        <w:jc w:val="cente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p>
    <w:p w14:paraId="4AA5071B">
      <w:pPr>
        <w:pStyle w:val="4"/>
        <w:keepNext/>
        <w:keepLines/>
        <w:pageBreakBefore w:val="0"/>
        <w:widowControl w:val="0"/>
        <w:kinsoku/>
        <w:wordWrap/>
        <w:overflowPunct/>
        <w:topLinePunct w:val="0"/>
        <w:autoSpaceDE/>
        <w:autoSpaceDN/>
        <w:bidi w:val="0"/>
        <w:adjustRightInd/>
        <w:snapToGrid/>
        <w:spacing w:before="313" w:beforeLines="100" w:after="313" w:afterLines="100" w:line="400" w:lineRule="exact"/>
        <w:jc w:val="center"/>
        <w:textAlignment w:val="auto"/>
        <w:rPr>
          <w:rFonts w:hint="eastAsia" w:ascii="宋体" w:hAnsi="宋体" w:eastAsia="宋体" w:cs="宋体"/>
          <w:color w:val="0D0D0D" w:themeColor="text1" w:themeTint="F2"/>
          <w:sz w:val="32"/>
          <w:szCs w:val="32"/>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32"/>
          <w:szCs w:val="32"/>
          <w:highlight w:val="none"/>
          <w:lang w:val="en-US" w:eastAsia="zh-CN"/>
          <w14:textFill>
            <w14:solidFill>
              <w14:schemeClr w14:val="tx1">
                <w14:lumMod w14:val="95000"/>
                <w14:lumOff w14:val="5000"/>
              </w14:schemeClr>
            </w14:solidFill>
          </w14:textFill>
        </w:rPr>
        <w:t xml:space="preserve">     </w:t>
      </w:r>
      <w:r>
        <w:rPr>
          <w:rFonts w:hint="eastAsia" w:ascii="宋体" w:hAnsi="宋体" w:eastAsia="宋体" w:cs="宋体"/>
          <w:color w:val="0D0D0D" w:themeColor="text1" w:themeTint="F2"/>
          <w:sz w:val="32"/>
          <w:szCs w:val="32"/>
          <w:highlight w:val="none"/>
          <w14:textFill>
            <w14:solidFill>
              <w14:schemeClr w14:val="tx1">
                <w14:lumMod w14:val="95000"/>
                <w14:lumOff w14:val="5000"/>
              </w14:schemeClr>
            </w14:solidFill>
          </w14:textFill>
        </w:rPr>
        <w:t>一、法定代表人身份证明书</w:t>
      </w:r>
      <w:bookmarkEnd w:id="16"/>
    </w:p>
    <w:p w14:paraId="6C1DD69B">
      <w:pPr>
        <w:pageBreakBefore w:val="0"/>
        <w:kinsoku/>
        <w:wordWrap/>
        <w:topLinePunct w:val="0"/>
        <w:bidi w:val="0"/>
        <w:spacing w:line="400" w:lineRule="exact"/>
        <w:ind w:firstLine="480" w:firstLineChars="200"/>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投标人单位名称：</w:t>
      </w:r>
    </w:p>
    <w:p w14:paraId="0C581F53">
      <w:pPr>
        <w:pageBreakBefore w:val="0"/>
        <w:kinsoku/>
        <w:wordWrap/>
        <w:topLinePunct w:val="0"/>
        <w:bidi w:val="0"/>
        <w:spacing w:line="400" w:lineRule="exact"/>
        <w:ind w:firstLine="480" w:firstLineChars="200"/>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投标人单位地址：</w:t>
      </w:r>
    </w:p>
    <w:p w14:paraId="5A064CBB">
      <w:pPr>
        <w:pageBreakBefore w:val="0"/>
        <w:kinsoku/>
        <w:wordWrap/>
        <w:topLinePunct w:val="0"/>
        <w:bidi w:val="0"/>
        <w:spacing w:line="400" w:lineRule="exact"/>
        <w:ind w:firstLine="480" w:firstLineChars="200"/>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姓名：性别：年龄：职务：</w:t>
      </w:r>
    </w:p>
    <w:p w14:paraId="73D53AB8">
      <w:pPr>
        <w:pageBreakBefore w:val="0"/>
        <w:kinsoku/>
        <w:wordWrap/>
        <w:topLinePunct w:val="0"/>
        <w:bidi w:val="0"/>
        <w:spacing w:line="400" w:lineRule="exact"/>
        <w:ind w:firstLine="480" w:firstLineChars="200"/>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系______________（投标人单位名称）的法定代表人。</w:t>
      </w:r>
    </w:p>
    <w:p w14:paraId="017C94FD">
      <w:pPr>
        <w:pageBreakBefore w:val="0"/>
        <w:kinsoku/>
        <w:wordWrap/>
        <w:topLinePunct w:val="0"/>
        <w:bidi w:val="0"/>
        <w:spacing w:line="400" w:lineRule="exact"/>
        <w:ind w:firstLine="480" w:firstLineChars="200"/>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特此证明。</w:t>
      </w:r>
    </w:p>
    <w:p w14:paraId="3D18A32E">
      <w:pPr>
        <w:pageBreakBefore w:val="0"/>
        <w:kinsoku/>
        <w:wordWrap/>
        <w:topLinePunct w:val="0"/>
        <w:bidi w:val="0"/>
        <w:spacing w:line="400" w:lineRule="exact"/>
        <w:ind w:firstLine="480" w:firstLineChars="200"/>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投标人（盖单位章）：</w:t>
      </w:r>
    </w:p>
    <w:p w14:paraId="09E31866">
      <w:pPr>
        <w:pageBreakBefore w:val="0"/>
        <w:kinsoku/>
        <w:wordWrap/>
        <w:topLinePunct w:val="0"/>
        <w:bidi w:val="0"/>
        <w:spacing w:line="400" w:lineRule="exact"/>
        <w:ind w:firstLine="480" w:firstLineChars="200"/>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p>
    <w:p w14:paraId="7EC88123">
      <w:pPr>
        <w:pageBreakBefore w:val="0"/>
        <w:kinsoku/>
        <w:wordWrap/>
        <w:topLinePunct w:val="0"/>
        <w:bidi w:val="0"/>
        <w:spacing w:line="400" w:lineRule="exact"/>
        <w:ind w:firstLine="480" w:firstLineChars="200"/>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日期：年月日</w:t>
      </w:r>
    </w:p>
    <w:p w14:paraId="28543F4E">
      <w:pPr>
        <w:pStyle w:val="6"/>
        <w:pageBreakBefore w:val="0"/>
        <w:kinsoku/>
        <w:wordWrap/>
        <w:topLinePunct w:val="0"/>
        <w:bidi w:val="0"/>
        <w:spacing w:line="400" w:lineRule="exact"/>
        <w:ind w:firstLine="0"/>
        <w:jc w:val="center"/>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pPr>
    </w:p>
    <w:p w14:paraId="55124E92">
      <w:pPr>
        <w:keepNext w:val="0"/>
        <w:keepLines w:val="0"/>
        <w:pageBreakBefore w:val="0"/>
        <w:widowControl/>
        <w:kinsoku/>
        <w:wordWrap/>
        <w:overflowPunct/>
        <w:topLinePunct w:val="0"/>
        <w:autoSpaceDE/>
        <w:autoSpaceDN/>
        <w:bidi w:val="0"/>
        <w:adjustRightInd/>
        <w:snapToGrid/>
        <w:spacing w:before="313" w:beforeLines="100" w:after="313" w:afterLines="100" w:line="400" w:lineRule="exact"/>
        <w:jc w:val="center"/>
        <w:textAlignment w:val="auto"/>
        <w:rPr>
          <w:rFonts w:hint="eastAsia" w:ascii="宋体" w:hAnsi="宋体" w:eastAsia="宋体" w:cs="宋体"/>
          <w:b/>
          <w:bCs/>
          <w:color w:val="0D0D0D" w:themeColor="text1" w:themeTint="F2"/>
          <w:sz w:val="32"/>
          <w:szCs w:val="32"/>
          <w:highlight w:val="none"/>
          <w14:textFill>
            <w14:solidFill>
              <w14:schemeClr w14:val="tx1">
                <w14:lumMod w14:val="95000"/>
                <w14:lumOff w14:val="5000"/>
              </w14:schemeClr>
            </w14:solidFill>
          </w14:textFill>
        </w:rPr>
      </w:pPr>
      <w:bookmarkStart w:id="18" w:name="_Toc329181720"/>
      <w:r>
        <w:rPr>
          <w:rFonts w:hint="eastAsia" w:ascii="宋体" w:hAnsi="宋体" w:eastAsia="宋体" w:cs="宋体"/>
          <w:b/>
          <w:bCs/>
          <w:color w:val="0D0D0D" w:themeColor="text1" w:themeTint="F2"/>
          <w:sz w:val="32"/>
          <w:szCs w:val="32"/>
          <w:highlight w:val="none"/>
          <w14:textFill>
            <w14:solidFill>
              <w14:schemeClr w14:val="tx1">
                <w14:lumMod w14:val="95000"/>
                <w14:lumOff w14:val="5000"/>
              </w14:schemeClr>
            </w14:solidFill>
          </w14:textFill>
        </w:rPr>
        <w:t>二、授权委托书</w:t>
      </w:r>
      <w:bookmarkEnd w:id="18"/>
    </w:p>
    <w:p w14:paraId="54F24D82">
      <w:pPr>
        <w:pageBreakBefore w:val="0"/>
        <w:kinsoku/>
        <w:wordWrap/>
        <w:topLinePunct w:val="0"/>
        <w:bidi w:val="0"/>
        <w:spacing w:line="400" w:lineRule="exact"/>
        <w:ind w:firstLine="573"/>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本人_________(姓名)系___________________(投标人单位名称)的法定代表人，现委托_____________(姓名)（身份证号：）为我方代理人。代理人根据授权，以我方名义签署、澄清、说明、补正、递交、撤回、修改（项目名称）投标文件，签订合同和处理有关事宜，其法律后果由我方承担。</w:t>
      </w:r>
    </w:p>
    <w:p w14:paraId="21AD1FAA">
      <w:pPr>
        <w:pageBreakBefore w:val="0"/>
        <w:kinsoku/>
        <w:wordWrap/>
        <w:topLinePunct w:val="0"/>
        <w:bidi w:val="0"/>
        <w:spacing w:line="400" w:lineRule="exact"/>
        <w:ind w:firstLine="573"/>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委托期限：</w:t>
      </w:r>
    </w:p>
    <w:p w14:paraId="1D843461">
      <w:pPr>
        <w:pageBreakBefore w:val="0"/>
        <w:kinsoku/>
        <w:wordWrap/>
        <w:topLinePunct w:val="0"/>
        <w:bidi w:val="0"/>
        <w:spacing w:line="400" w:lineRule="exact"/>
        <w:ind w:firstLine="573"/>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代理人无转委托权。</w:t>
      </w:r>
    </w:p>
    <w:p w14:paraId="01219487">
      <w:pPr>
        <w:pageBreakBefore w:val="0"/>
        <w:kinsoku/>
        <w:wordWrap/>
        <w:topLinePunct w:val="0"/>
        <w:bidi w:val="0"/>
        <w:spacing w:line="400" w:lineRule="exact"/>
        <w:ind w:firstLine="573"/>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代理人：性别：年龄：</w:t>
      </w:r>
    </w:p>
    <w:p w14:paraId="248178EF">
      <w:pPr>
        <w:pageBreakBefore w:val="0"/>
        <w:kinsoku/>
        <w:wordWrap/>
        <w:topLinePunct w:val="0"/>
        <w:bidi w:val="0"/>
        <w:spacing w:line="400" w:lineRule="exact"/>
        <w:ind w:firstLine="573"/>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代理人单位：部门：职务：</w:t>
      </w:r>
    </w:p>
    <w:p w14:paraId="09F82500">
      <w:pPr>
        <w:pageBreakBefore w:val="0"/>
        <w:kinsoku/>
        <w:wordWrap/>
        <w:topLinePunct w:val="0"/>
        <w:bidi w:val="0"/>
        <w:spacing w:line="400" w:lineRule="exact"/>
        <w:ind w:firstLine="573"/>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投标人（盖单位章）：</w:t>
      </w:r>
    </w:p>
    <w:p w14:paraId="3FFAB309">
      <w:pPr>
        <w:pageBreakBefore w:val="0"/>
        <w:kinsoku/>
        <w:wordWrap/>
        <w:topLinePunct w:val="0"/>
        <w:bidi w:val="0"/>
        <w:spacing w:line="400" w:lineRule="exact"/>
        <w:ind w:firstLine="573"/>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法人代表人（签字或印章）：</w:t>
      </w:r>
    </w:p>
    <w:p w14:paraId="339A6143">
      <w:pPr>
        <w:pageBreakBefore w:val="0"/>
        <w:kinsoku/>
        <w:wordWrap/>
        <w:topLinePunct w:val="0"/>
        <w:bidi w:val="0"/>
        <w:spacing w:line="400" w:lineRule="exact"/>
        <w:ind w:firstLine="573"/>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日期：</w:t>
      </w:r>
    </w:p>
    <w:p w14:paraId="6485EDC1">
      <w:pPr>
        <w:pageBreakBefore w:val="0"/>
        <w:kinsoku/>
        <w:wordWrap/>
        <w:topLinePunct w:val="0"/>
        <w:bidi w:val="0"/>
        <w:spacing w:line="400" w:lineRule="exact"/>
        <w:ind w:firstLine="573"/>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pPr>
    </w:p>
    <w:bookmarkEnd w:id="17"/>
    <w:p w14:paraId="4602985E">
      <w:pPr>
        <w:pageBreakBefore w:val="0"/>
        <w:widowControl/>
        <w:kinsoku/>
        <w:wordWrap/>
        <w:topLinePunct w:val="0"/>
        <w:bidi w:val="0"/>
        <w:spacing w:line="400" w:lineRule="exact"/>
        <w:jc w:val="left"/>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br w:type="page"/>
      </w:r>
    </w:p>
    <w:p w14:paraId="61AF8805">
      <w:pPr>
        <w:pStyle w:val="4"/>
        <w:keepNext/>
        <w:keepLines/>
        <w:pageBreakBefore w:val="0"/>
        <w:widowControl w:val="0"/>
        <w:kinsoku/>
        <w:wordWrap/>
        <w:overflowPunct/>
        <w:topLinePunct w:val="0"/>
        <w:autoSpaceDE/>
        <w:autoSpaceDN/>
        <w:bidi w:val="0"/>
        <w:adjustRightInd/>
        <w:snapToGrid/>
        <w:spacing w:before="0" w:after="313" w:afterLines="100" w:line="400" w:lineRule="exact"/>
        <w:jc w:val="center"/>
        <w:textAlignment w:val="auto"/>
        <w:rPr>
          <w:rFonts w:hint="eastAsia" w:ascii="宋体" w:hAnsi="宋体" w:eastAsia="宋体" w:cs="宋体"/>
          <w:color w:val="0D0D0D" w:themeColor="text1" w:themeTint="F2"/>
          <w:sz w:val="32"/>
          <w:szCs w:val="32"/>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32"/>
          <w:szCs w:val="32"/>
          <w:highlight w:val="none"/>
          <w14:textFill>
            <w14:solidFill>
              <w14:schemeClr w14:val="tx1">
                <w14:lumMod w14:val="95000"/>
                <w14:lumOff w14:val="5000"/>
              </w14:schemeClr>
            </w14:solidFill>
          </w14:textFill>
        </w:rPr>
        <w:t>三、投标函</w:t>
      </w:r>
    </w:p>
    <w:p w14:paraId="1D1251C6">
      <w:pPr>
        <w:pageBreakBefore w:val="0"/>
        <w:kinsoku/>
        <w:wordWrap/>
        <w:topLinePunct w:val="0"/>
        <w:bidi w:val="0"/>
        <w:spacing w:line="400" w:lineRule="exact"/>
        <w:rPr>
          <w:rFonts w:hint="eastAsia" w:ascii="宋体" w:hAnsi="宋体" w:eastAsia="宋体" w:cs="宋体"/>
          <w:color w:val="0D0D0D" w:themeColor="text1" w:themeTint="F2"/>
          <w:sz w:val="24"/>
          <w:szCs w:val="24"/>
          <w:highlight w:val="none"/>
          <w:u w:val="singl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4"/>
          <w:szCs w:val="24"/>
          <w:highlight w:val="none"/>
          <w14:textFill>
            <w14:solidFill>
              <w14:schemeClr w14:val="tx1">
                <w14:lumMod w14:val="95000"/>
                <w14:lumOff w14:val="5000"/>
              </w14:schemeClr>
            </w14:solidFill>
          </w14:textFill>
        </w:rPr>
        <w:t>致南通市通州区水务有限公司：</w:t>
      </w:r>
    </w:p>
    <w:p w14:paraId="0C952F6F">
      <w:pPr>
        <w:pageBreakBefore w:val="0"/>
        <w:kinsoku/>
        <w:wordWrap/>
        <w:topLinePunct w:val="0"/>
        <w:bidi w:val="0"/>
        <w:spacing w:line="400" w:lineRule="exact"/>
        <w:ind w:left="1" w:firstLine="480" w:firstLineChars="200"/>
        <w:rPr>
          <w:rFonts w:hint="eastAsia" w:ascii="宋体" w:hAnsi="宋体" w:eastAsia="宋体" w:cs="宋体"/>
          <w:color w:val="0C0C0C"/>
          <w:sz w:val="24"/>
          <w:szCs w:val="24"/>
          <w:highlight w:val="none"/>
        </w:rPr>
      </w:pPr>
      <w:r>
        <w:rPr>
          <w:rFonts w:hint="eastAsia" w:ascii="宋体" w:hAnsi="宋体" w:eastAsia="宋体" w:cs="宋体"/>
          <w:color w:val="0C0C0C"/>
          <w:sz w:val="24"/>
          <w:szCs w:val="24"/>
          <w:highlight w:val="none"/>
        </w:rPr>
        <w:t>根据贵方招标文件，授权代表（</w:t>
      </w:r>
      <w:r>
        <w:rPr>
          <w:rFonts w:hint="eastAsia" w:ascii="宋体" w:hAnsi="宋体" w:eastAsia="宋体" w:cs="宋体"/>
          <w:color w:val="0C0C0C"/>
          <w:sz w:val="24"/>
          <w:szCs w:val="24"/>
          <w:highlight w:val="none"/>
          <w:u w:val="single"/>
        </w:rPr>
        <w:t>姓名、职务、</w:t>
      </w:r>
      <w:r>
        <w:rPr>
          <w:rFonts w:hint="eastAsia" w:ascii="宋体" w:hAnsi="宋体" w:eastAsia="宋体" w:cs="宋体"/>
          <w:color w:val="0C0C0C"/>
          <w:sz w:val="24"/>
          <w:szCs w:val="24"/>
          <w:highlight w:val="none"/>
        </w:rPr>
        <w:t>）经正式授权并代表投标人（</w:t>
      </w:r>
      <w:r>
        <w:rPr>
          <w:rFonts w:hint="eastAsia" w:ascii="宋体" w:hAnsi="宋体" w:eastAsia="宋体" w:cs="宋体"/>
          <w:color w:val="0C0C0C"/>
          <w:sz w:val="24"/>
          <w:szCs w:val="24"/>
          <w:highlight w:val="none"/>
          <w:u w:val="single"/>
        </w:rPr>
        <w:t>投标人名称、地址</w:t>
      </w:r>
      <w:r>
        <w:rPr>
          <w:rFonts w:hint="eastAsia" w:ascii="宋体" w:hAnsi="宋体" w:eastAsia="宋体" w:cs="宋体"/>
          <w:color w:val="0C0C0C"/>
          <w:sz w:val="24"/>
          <w:szCs w:val="24"/>
          <w:highlight w:val="none"/>
        </w:rPr>
        <w:t>）提交投标文件正本一份及副本贰份。</w:t>
      </w:r>
    </w:p>
    <w:p w14:paraId="2EB0C2F0">
      <w:pPr>
        <w:pageBreakBefore w:val="0"/>
        <w:kinsoku/>
        <w:wordWrap/>
        <w:topLinePunct w:val="0"/>
        <w:bidi w:val="0"/>
        <w:spacing w:line="400" w:lineRule="exact"/>
        <w:ind w:firstLine="480"/>
        <w:rPr>
          <w:rFonts w:hint="eastAsia" w:ascii="宋体" w:hAnsi="宋体" w:eastAsia="宋体" w:cs="宋体"/>
          <w:color w:val="0C0C0C"/>
          <w:sz w:val="24"/>
          <w:szCs w:val="24"/>
          <w:highlight w:val="none"/>
        </w:rPr>
      </w:pPr>
      <w:r>
        <w:rPr>
          <w:rFonts w:hint="eastAsia" w:ascii="宋体" w:hAnsi="宋体" w:eastAsia="宋体" w:cs="宋体"/>
          <w:color w:val="0C0C0C"/>
          <w:sz w:val="24"/>
          <w:szCs w:val="24"/>
          <w:highlight w:val="none"/>
        </w:rPr>
        <w:t>据此函，我方宣布同意如下：</w:t>
      </w:r>
    </w:p>
    <w:p w14:paraId="664526BA">
      <w:pPr>
        <w:pageBreakBefore w:val="0"/>
        <w:kinsoku/>
        <w:wordWrap/>
        <w:topLinePunct w:val="0"/>
        <w:bidi w:val="0"/>
        <w:spacing w:line="400" w:lineRule="exact"/>
        <w:ind w:firstLine="480" w:firstLineChars="200"/>
        <w:rPr>
          <w:rFonts w:hint="eastAsia" w:ascii="宋体" w:hAnsi="宋体" w:eastAsia="宋体" w:cs="宋体"/>
          <w:color w:val="0C0C0C"/>
          <w:sz w:val="24"/>
          <w:szCs w:val="24"/>
          <w:highlight w:val="none"/>
        </w:rPr>
      </w:pPr>
      <w:r>
        <w:rPr>
          <w:rFonts w:hint="eastAsia" w:ascii="宋体" w:hAnsi="宋体" w:eastAsia="宋体" w:cs="宋体"/>
          <w:color w:val="0C0C0C"/>
          <w:sz w:val="24"/>
          <w:szCs w:val="24"/>
          <w:highlight w:val="none"/>
        </w:rPr>
        <w:t>1</w:t>
      </w:r>
      <w:r>
        <w:rPr>
          <w:rFonts w:hint="eastAsia" w:ascii="宋体" w:hAnsi="宋体" w:eastAsia="宋体" w:cs="宋体"/>
          <w:color w:val="0C0C0C"/>
          <w:sz w:val="24"/>
          <w:szCs w:val="24"/>
          <w:highlight w:val="none"/>
          <w:lang w:val="en-US" w:eastAsia="zh-CN"/>
        </w:rPr>
        <w:t>.</w:t>
      </w:r>
      <w:r>
        <w:rPr>
          <w:rFonts w:hint="eastAsia" w:ascii="宋体" w:hAnsi="宋体" w:eastAsia="宋体" w:cs="宋体"/>
          <w:color w:val="0C0C0C"/>
          <w:sz w:val="24"/>
          <w:szCs w:val="24"/>
          <w:highlight w:val="none"/>
        </w:rPr>
        <w:t>根据已收到的：</w:t>
      </w:r>
      <w:r>
        <w:rPr>
          <w:rFonts w:hint="eastAsia" w:ascii="宋体" w:hAnsi="宋体" w:eastAsia="宋体" w:cs="宋体"/>
          <w:color w:val="0C0C0C"/>
          <w:sz w:val="24"/>
          <w:szCs w:val="24"/>
          <w:highlight w:val="none"/>
          <w:u w:val="single"/>
        </w:rPr>
        <w:t>　　  　</w:t>
      </w:r>
      <w:r>
        <w:rPr>
          <w:rFonts w:hint="eastAsia" w:ascii="宋体" w:hAnsi="宋体" w:eastAsia="宋体" w:cs="宋体"/>
          <w:color w:val="0C0C0C"/>
          <w:sz w:val="24"/>
          <w:szCs w:val="24"/>
          <w:highlight w:val="none"/>
        </w:rPr>
        <w:t>招标文件（含答疑），我单位经研究招标文件后，我方愿以</w:t>
      </w:r>
      <w:r>
        <w:rPr>
          <w:rFonts w:hint="eastAsia" w:ascii="宋体" w:hAnsi="宋体" w:eastAsia="宋体" w:cs="宋体"/>
          <w:b/>
          <w:color w:val="0C0C0C"/>
          <w:sz w:val="24"/>
          <w:szCs w:val="24"/>
          <w:highlight w:val="none"/>
        </w:rPr>
        <w:t>人民币</w:t>
      </w:r>
      <w:r>
        <w:rPr>
          <w:rFonts w:hint="eastAsia" w:ascii="宋体" w:hAnsi="宋体" w:eastAsia="宋体" w:cs="宋体"/>
          <w:b/>
          <w:color w:val="0C0C0C"/>
          <w:sz w:val="24"/>
          <w:szCs w:val="24"/>
          <w:highlight w:val="none"/>
          <w:u w:val="single"/>
        </w:rPr>
        <w:t>　　　　　</w:t>
      </w:r>
      <w:r>
        <w:rPr>
          <w:rFonts w:hint="eastAsia" w:ascii="宋体" w:hAnsi="宋体" w:eastAsia="宋体" w:cs="宋体"/>
          <w:b/>
          <w:color w:val="0C0C0C"/>
          <w:sz w:val="24"/>
          <w:szCs w:val="24"/>
          <w:highlight w:val="none"/>
        </w:rPr>
        <w:t>元的投标总价（具体详见明细报价一览表）</w:t>
      </w:r>
      <w:r>
        <w:rPr>
          <w:rFonts w:hint="eastAsia" w:ascii="宋体" w:hAnsi="宋体" w:eastAsia="宋体" w:cs="宋体"/>
          <w:color w:val="0C0C0C"/>
          <w:sz w:val="24"/>
          <w:szCs w:val="24"/>
          <w:highlight w:val="none"/>
        </w:rPr>
        <w:t>完成该项目。</w:t>
      </w:r>
    </w:p>
    <w:p w14:paraId="3024E185">
      <w:pPr>
        <w:pageBreakBefore w:val="0"/>
        <w:kinsoku/>
        <w:wordWrap/>
        <w:topLinePunct w:val="0"/>
        <w:bidi w:val="0"/>
        <w:spacing w:line="400" w:lineRule="exact"/>
        <w:ind w:firstLine="480" w:firstLineChars="200"/>
        <w:rPr>
          <w:rFonts w:hint="eastAsia" w:ascii="宋体" w:hAnsi="宋体" w:eastAsia="宋体" w:cs="宋体"/>
          <w:color w:val="0C0C0C"/>
          <w:sz w:val="24"/>
          <w:szCs w:val="24"/>
          <w:highlight w:val="none"/>
        </w:rPr>
      </w:pPr>
      <w:r>
        <w:rPr>
          <w:rFonts w:hint="eastAsia" w:ascii="宋体" w:hAnsi="宋体" w:eastAsia="宋体" w:cs="宋体"/>
          <w:color w:val="0C0C0C"/>
          <w:sz w:val="24"/>
          <w:szCs w:val="24"/>
          <w:highlight w:val="none"/>
        </w:rPr>
        <w:t>2</w:t>
      </w:r>
      <w:r>
        <w:rPr>
          <w:rFonts w:hint="eastAsia" w:ascii="宋体" w:hAnsi="宋体" w:eastAsia="宋体" w:cs="宋体"/>
          <w:color w:val="0C0C0C"/>
          <w:sz w:val="24"/>
          <w:szCs w:val="24"/>
          <w:highlight w:val="none"/>
          <w:lang w:val="en-US" w:eastAsia="zh-CN"/>
        </w:rPr>
        <w:t>.</w:t>
      </w:r>
      <w:r>
        <w:rPr>
          <w:rFonts w:hint="eastAsia" w:ascii="宋体" w:hAnsi="宋体" w:eastAsia="宋体" w:cs="宋体"/>
          <w:color w:val="0C0C0C"/>
          <w:sz w:val="24"/>
          <w:szCs w:val="24"/>
          <w:highlight w:val="none"/>
        </w:rPr>
        <w:t>招标响应人已详细审查全部招标文件，包括有关澄清和补充说明（如果有的话）。我们完全理解并同意放弃对这方面有不明及误解的权力。</w:t>
      </w:r>
    </w:p>
    <w:p w14:paraId="6B3D1037">
      <w:pPr>
        <w:pageBreakBefore w:val="0"/>
        <w:kinsoku/>
        <w:wordWrap/>
        <w:topLinePunct w:val="0"/>
        <w:bidi w:val="0"/>
        <w:spacing w:line="400" w:lineRule="exact"/>
        <w:ind w:firstLine="480" w:firstLineChars="200"/>
        <w:rPr>
          <w:rFonts w:hint="eastAsia" w:ascii="宋体" w:hAnsi="宋体" w:eastAsia="宋体" w:cs="宋体"/>
          <w:color w:val="0C0C0C"/>
          <w:sz w:val="24"/>
          <w:szCs w:val="24"/>
          <w:highlight w:val="none"/>
        </w:rPr>
      </w:pPr>
      <w:r>
        <w:rPr>
          <w:rFonts w:hint="eastAsia" w:ascii="宋体" w:hAnsi="宋体" w:eastAsia="宋体" w:cs="宋体"/>
          <w:color w:val="0C0C0C"/>
          <w:sz w:val="24"/>
          <w:szCs w:val="24"/>
          <w:highlight w:val="none"/>
        </w:rPr>
        <w:t>3</w:t>
      </w:r>
      <w:r>
        <w:rPr>
          <w:rFonts w:hint="eastAsia" w:ascii="宋体" w:hAnsi="宋体" w:eastAsia="宋体" w:cs="宋体"/>
          <w:color w:val="0C0C0C"/>
          <w:sz w:val="24"/>
          <w:szCs w:val="24"/>
          <w:highlight w:val="none"/>
          <w:lang w:val="en-US" w:eastAsia="zh-CN"/>
        </w:rPr>
        <w:t>.</w:t>
      </w:r>
      <w:r>
        <w:rPr>
          <w:rFonts w:hint="eastAsia" w:ascii="宋体" w:hAnsi="宋体" w:eastAsia="宋体" w:cs="宋体"/>
          <w:color w:val="0C0C0C"/>
          <w:sz w:val="24"/>
          <w:szCs w:val="24"/>
          <w:highlight w:val="none"/>
        </w:rPr>
        <w:t>我们同意在从规定的开标之日起六十天为投标文件有效期内严格遵守本投标书的各项承诺。在此期限届满之前，本投标书始终将对我方具有约束力，并随时接受中标。如果中标，本次招标文件和本投标文件（含承诺书）将作为买卖合同的附件。</w:t>
      </w:r>
    </w:p>
    <w:p w14:paraId="29B9A9E3">
      <w:pPr>
        <w:pageBreakBefore w:val="0"/>
        <w:kinsoku/>
        <w:wordWrap/>
        <w:topLinePunct w:val="0"/>
        <w:bidi w:val="0"/>
        <w:spacing w:line="400" w:lineRule="exact"/>
        <w:ind w:firstLine="480" w:firstLineChars="200"/>
        <w:rPr>
          <w:rFonts w:hint="eastAsia" w:ascii="宋体" w:hAnsi="宋体" w:eastAsia="宋体" w:cs="宋体"/>
          <w:color w:val="0C0C0C"/>
          <w:sz w:val="24"/>
          <w:szCs w:val="24"/>
          <w:highlight w:val="none"/>
        </w:rPr>
      </w:pPr>
      <w:r>
        <w:rPr>
          <w:rFonts w:hint="eastAsia" w:ascii="宋体" w:hAnsi="宋体" w:eastAsia="宋体" w:cs="宋体"/>
          <w:color w:val="0C0C0C"/>
          <w:sz w:val="24"/>
          <w:szCs w:val="24"/>
          <w:highlight w:val="none"/>
        </w:rPr>
        <w:t>4</w:t>
      </w:r>
      <w:r>
        <w:rPr>
          <w:rFonts w:hint="eastAsia" w:ascii="宋体" w:hAnsi="宋体" w:eastAsia="宋体" w:cs="宋体"/>
          <w:color w:val="0C0C0C"/>
          <w:sz w:val="24"/>
          <w:szCs w:val="24"/>
          <w:highlight w:val="none"/>
          <w:lang w:val="en-US" w:eastAsia="zh-CN"/>
        </w:rPr>
        <w:t>.</w:t>
      </w:r>
      <w:r>
        <w:rPr>
          <w:rFonts w:hint="eastAsia" w:ascii="宋体" w:hAnsi="宋体" w:eastAsia="宋体" w:cs="宋体"/>
          <w:color w:val="0C0C0C"/>
          <w:sz w:val="24"/>
          <w:szCs w:val="24"/>
          <w:highlight w:val="none"/>
        </w:rPr>
        <w:t>我方愿意履行自己在投标文件中的全部承诺和责任，我方愿意遵守招标文件中对投标者的所有规定。</w:t>
      </w:r>
    </w:p>
    <w:p w14:paraId="5B5590D6">
      <w:pPr>
        <w:pageBreakBefore w:val="0"/>
        <w:kinsoku/>
        <w:wordWrap/>
        <w:topLinePunct w:val="0"/>
        <w:bidi w:val="0"/>
        <w:spacing w:line="400" w:lineRule="exact"/>
        <w:ind w:firstLine="480" w:firstLineChars="200"/>
        <w:rPr>
          <w:rFonts w:hint="eastAsia" w:ascii="宋体" w:hAnsi="宋体" w:eastAsia="宋体" w:cs="宋体"/>
          <w:color w:val="0C0C0C"/>
          <w:sz w:val="24"/>
          <w:szCs w:val="24"/>
          <w:highlight w:val="none"/>
        </w:rPr>
      </w:pPr>
      <w:r>
        <w:rPr>
          <w:rFonts w:hint="eastAsia" w:ascii="宋体" w:hAnsi="宋体" w:eastAsia="宋体" w:cs="宋体"/>
          <w:color w:val="0C0C0C"/>
          <w:sz w:val="24"/>
          <w:szCs w:val="24"/>
          <w:highlight w:val="none"/>
        </w:rPr>
        <w:t>5</w:t>
      </w:r>
      <w:r>
        <w:rPr>
          <w:rFonts w:hint="eastAsia" w:ascii="宋体" w:hAnsi="宋体" w:eastAsia="宋体" w:cs="宋体"/>
          <w:color w:val="0C0C0C"/>
          <w:sz w:val="24"/>
          <w:szCs w:val="24"/>
          <w:highlight w:val="none"/>
          <w:lang w:val="en-US" w:eastAsia="zh-CN"/>
        </w:rPr>
        <w:t>.</w:t>
      </w:r>
      <w:r>
        <w:rPr>
          <w:rFonts w:hint="eastAsia" w:ascii="宋体" w:hAnsi="宋体" w:eastAsia="宋体" w:cs="宋体"/>
          <w:color w:val="0C0C0C"/>
          <w:sz w:val="24"/>
          <w:szCs w:val="24"/>
          <w:highlight w:val="none"/>
        </w:rPr>
        <w:t>我方愿意向招标人提供任何与本次招标文件有关的其他资料。</w:t>
      </w:r>
    </w:p>
    <w:p w14:paraId="75ED210F">
      <w:pPr>
        <w:pageBreakBefore w:val="0"/>
        <w:kinsoku/>
        <w:wordWrap/>
        <w:topLinePunct w:val="0"/>
        <w:bidi w:val="0"/>
        <w:spacing w:line="400" w:lineRule="exact"/>
        <w:ind w:firstLine="480" w:firstLineChars="200"/>
        <w:rPr>
          <w:rFonts w:hint="eastAsia" w:ascii="宋体" w:hAnsi="宋体" w:eastAsia="宋体" w:cs="宋体"/>
          <w:color w:val="0C0C0C"/>
          <w:sz w:val="24"/>
          <w:szCs w:val="24"/>
          <w:highlight w:val="none"/>
        </w:rPr>
      </w:pPr>
      <w:r>
        <w:rPr>
          <w:rFonts w:hint="eastAsia" w:ascii="宋体" w:hAnsi="宋体" w:eastAsia="宋体" w:cs="宋体"/>
          <w:color w:val="0C0C0C"/>
          <w:sz w:val="24"/>
          <w:szCs w:val="24"/>
          <w:highlight w:val="none"/>
        </w:rPr>
        <w:t>6</w:t>
      </w:r>
      <w:r>
        <w:rPr>
          <w:rFonts w:hint="eastAsia" w:ascii="宋体" w:hAnsi="宋体" w:eastAsia="宋体" w:cs="宋体"/>
          <w:color w:val="0C0C0C"/>
          <w:sz w:val="24"/>
          <w:szCs w:val="24"/>
          <w:highlight w:val="none"/>
          <w:lang w:val="en-US" w:eastAsia="zh-CN"/>
        </w:rPr>
        <w:t>.</w:t>
      </w:r>
      <w:r>
        <w:rPr>
          <w:rFonts w:hint="eastAsia" w:ascii="宋体" w:hAnsi="宋体" w:eastAsia="宋体" w:cs="宋体"/>
          <w:color w:val="0C0C0C"/>
          <w:sz w:val="24"/>
          <w:szCs w:val="24"/>
          <w:highlight w:val="none"/>
        </w:rPr>
        <w:t>我方完全理解招标人有保留在授标之前任何时候接受或拒绝任何投标，以及宣布招标程序无效或拒绝所有投标的权力。我方完全理解招标人不向未中标人解释未中标理由的义务。</w:t>
      </w:r>
    </w:p>
    <w:p w14:paraId="0EA5D5EB">
      <w:pPr>
        <w:pageBreakBefore w:val="0"/>
        <w:kinsoku/>
        <w:wordWrap/>
        <w:topLinePunct w:val="0"/>
        <w:bidi w:val="0"/>
        <w:spacing w:line="400" w:lineRule="exact"/>
        <w:ind w:firstLine="480" w:firstLineChars="200"/>
        <w:rPr>
          <w:rFonts w:hint="eastAsia" w:ascii="宋体" w:hAnsi="宋体" w:eastAsia="宋体" w:cs="宋体"/>
          <w:color w:val="0C0C0C"/>
          <w:sz w:val="24"/>
          <w:szCs w:val="24"/>
          <w:highlight w:val="none"/>
        </w:rPr>
      </w:pPr>
      <w:r>
        <w:rPr>
          <w:rFonts w:hint="eastAsia" w:ascii="宋体" w:hAnsi="宋体" w:eastAsia="宋体" w:cs="宋体"/>
          <w:color w:val="0C0C0C"/>
          <w:sz w:val="24"/>
          <w:szCs w:val="24"/>
          <w:highlight w:val="none"/>
        </w:rPr>
        <w:t>7</w:t>
      </w:r>
      <w:r>
        <w:rPr>
          <w:rFonts w:hint="eastAsia" w:ascii="宋体" w:hAnsi="宋体" w:eastAsia="宋体" w:cs="宋体"/>
          <w:color w:val="0C0C0C"/>
          <w:sz w:val="24"/>
          <w:szCs w:val="24"/>
          <w:highlight w:val="none"/>
          <w:lang w:val="en-US" w:eastAsia="zh-CN"/>
        </w:rPr>
        <w:t>.</w:t>
      </w:r>
      <w:r>
        <w:rPr>
          <w:rFonts w:hint="eastAsia" w:ascii="宋体" w:hAnsi="宋体" w:eastAsia="宋体" w:cs="宋体"/>
          <w:color w:val="0C0C0C"/>
          <w:sz w:val="24"/>
          <w:szCs w:val="24"/>
          <w:highlight w:val="none"/>
        </w:rPr>
        <w:t>我们出具金额为</w:t>
      </w:r>
      <w:r>
        <w:rPr>
          <w:rFonts w:hint="eastAsia" w:ascii="宋体" w:hAnsi="宋体" w:eastAsia="宋体" w:cs="宋体"/>
          <w:b/>
          <w:color w:val="0C0C0C"/>
          <w:sz w:val="24"/>
          <w:szCs w:val="24"/>
          <w:highlight w:val="none"/>
        </w:rPr>
        <w:t>人民币1000元整/投标单位</w:t>
      </w:r>
      <w:r>
        <w:rPr>
          <w:rFonts w:hint="eastAsia" w:ascii="宋体" w:hAnsi="宋体" w:eastAsia="宋体" w:cs="宋体"/>
          <w:color w:val="0C0C0C"/>
          <w:sz w:val="24"/>
          <w:szCs w:val="24"/>
          <w:highlight w:val="none"/>
        </w:rPr>
        <w:t>的投标保证金。如果我们在本投标文件有效期内撤回投标文件；或在接到中标通知书后的7天内未能或拒绝签订合同协议书；出现弄虚作假以及违反招投标法规定的情况；或未能在规定时间内提交履约保证金，招标人有权没收投标担保金，另选中标单位。</w:t>
      </w:r>
    </w:p>
    <w:p w14:paraId="6B5135A8">
      <w:pPr>
        <w:pageBreakBefore w:val="0"/>
        <w:kinsoku/>
        <w:wordWrap/>
        <w:topLinePunct w:val="0"/>
        <w:bidi w:val="0"/>
        <w:spacing w:line="400" w:lineRule="exact"/>
        <w:ind w:firstLine="480" w:firstLineChars="200"/>
        <w:rPr>
          <w:rFonts w:hint="eastAsia" w:ascii="宋体" w:hAnsi="宋体" w:eastAsia="宋体" w:cs="宋体"/>
          <w:color w:val="0C0C0C"/>
          <w:sz w:val="24"/>
          <w:szCs w:val="24"/>
          <w:highlight w:val="none"/>
        </w:rPr>
      </w:pPr>
      <w:r>
        <w:rPr>
          <w:rFonts w:hint="eastAsia" w:ascii="宋体" w:hAnsi="宋体" w:eastAsia="宋体" w:cs="宋体"/>
          <w:color w:val="0C0C0C"/>
          <w:sz w:val="24"/>
          <w:szCs w:val="24"/>
          <w:highlight w:val="none"/>
        </w:rPr>
        <w:t>8</w:t>
      </w:r>
      <w:r>
        <w:rPr>
          <w:rFonts w:hint="eastAsia" w:ascii="宋体" w:hAnsi="宋体" w:eastAsia="宋体" w:cs="宋体"/>
          <w:color w:val="0C0C0C"/>
          <w:sz w:val="24"/>
          <w:szCs w:val="24"/>
          <w:highlight w:val="none"/>
          <w:lang w:val="en-US" w:eastAsia="zh-CN"/>
        </w:rPr>
        <w:t>.</w:t>
      </w:r>
      <w:r>
        <w:rPr>
          <w:rFonts w:hint="eastAsia" w:ascii="宋体" w:hAnsi="宋体" w:eastAsia="宋体" w:cs="宋体"/>
          <w:color w:val="0C0C0C"/>
          <w:sz w:val="24"/>
          <w:szCs w:val="24"/>
          <w:highlight w:val="none"/>
        </w:rPr>
        <w:t>投标人同意提供按照招标人可能要求的与其评审有关的一切数据或资料，同时也理解，招标人及招标代理人不负担我们的任何投标费用。</w:t>
      </w:r>
    </w:p>
    <w:p w14:paraId="3715BF4C">
      <w:pPr>
        <w:pageBreakBefore w:val="0"/>
        <w:kinsoku/>
        <w:wordWrap/>
        <w:topLinePunct w:val="0"/>
        <w:bidi w:val="0"/>
        <w:spacing w:line="400" w:lineRule="exact"/>
        <w:ind w:firstLine="480" w:firstLineChars="200"/>
        <w:rPr>
          <w:rFonts w:hint="eastAsia" w:ascii="宋体" w:hAnsi="宋体" w:eastAsia="宋体" w:cs="宋体"/>
          <w:color w:val="0C0C0C"/>
          <w:sz w:val="24"/>
          <w:szCs w:val="24"/>
          <w:highlight w:val="none"/>
        </w:rPr>
      </w:pPr>
      <w:r>
        <w:rPr>
          <w:rFonts w:hint="eastAsia" w:ascii="宋体" w:hAnsi="宋体" w:eastAsia="宋体" w:cs="宋体"/>
          <w:color w:val="0C0C0C"/>
          <w:sz w:val="24"/>
          <w:szCs w:val="24"/>
          <w:highlight w:val="none"/>
        </w:rPr>
        <w:t>9</w:t>
      </w:r>
      <w:r>
        <w:rPr>
          <w:rFonts w:hint="eastAsia" w:ascii="宋体" w:hAnsi="宋体" w:eastAsia="宋体" w:cs="宋体"/>
          <w:color w:val="0C0C0C"/>
          <w:sz w:val="24"/>
          <w:szCs w:val="24"/>
          <w:highlight w:val="none"/>
          <w:lang w:val="en-US" w:eastAsia="zh-CN"/>
        </w:rPr>
        <w:t>.</w:t>
      </w:r>
      <w:r>
        <w:rPr>
          <w:rFonts w:hint="eastAsia" w:ascii="宋体" w:hAnsi="宋体" w:eastAsia="宋体" w:cs="宋体"/>
          <w:color w:val="0C0C0C"/>
          <w:sz w:val="24"/>
          <w:szCs w:val="24"/>
          <w:highlight w:val="none"/>
        </w:rPr>
        <w:t>投标人确认本招标文件限定的投标时间不影响我们的正常投标。</w:t>
      </w:r>
    </w:p>
    <w:p w14:paraId="4E5F5E88">
      <w:pPr>
        <w:pageBreakBefore w:val="0"/>
        <w:kinsoku/>
        <w:wordWrap/>
        <w:topLinePunct w:val="0"/>
        <w:bidi w:val="0"/>
        <w:spacing w:line="400" w:lineRule="exact"/>
        <w:ind w:firstLine="480" w:firstLineChars="200"/>
        <w:rPr>
          <w:rFonts w:hint="eastAsia" w:ascii="宋体" w:hAnsi="宋体" w:eastAsia="宋体" w:cs="宋体"/>
          <w:color w:val="0C0C0C"/>
          <w:sz w:val="24"/>
          <w:szCs w:val="24"/>
          <w:highlight w:val="none"/>
        </w:rPr>
      </w:pPr>
      <w:r>
        <w:rPr>
          <w:rFonts w:hint="eastAsia" w:ascii="宋体" w:hAnsi="宋体" w:eastAsia="宋体" w:cs="宋体"/>
          <w:color w:val="0C0C0C"/>
          <w:sz w:val="24"/>
          <w:szCs w:val="24"/>
          <w:highlight w:val="none"/>
        </w:rPr>
        <w:t>10</w:t>
      </w:r>
      <w:r>
        <w:rPr>
          <w:rFonts w:hint="eastAsia" w:ascii="宋体" w:hAnsi="宋体" w:eastAsia="宋体" w:cs="宋体"/>
          <w:color w:val="0C0C0C"/>
          <w:sz w:val="24"/>
          <w:szCs w:val="24"/>
          <w:highlight w:val="none"/>
          <w:lang w:val="en-US" w:eastAsia="zh-CN"/>
        </w:rPr>
        <w:t>.</w:t>
      </w:r>
      <w:r>
        <w:rPr>
          <w:rFonts w:hint="eastAsia" w:ascii="宋体" w:hAnsi="宋体" w:eastAsia="宋体" w:cs="宋体"/>
          <w:color w:val="0C0C0C"/>
          <w:sz w:val="24"/>
          <w:szCs w:val="24"/>
          <w:highlight w:val="none"/>
        </w:rPr>
        <w:t>一旦我方成交，我方将按照相关的法律法规和签订的合同来履行自己的责任和义务。除非另外达成协议并生效，你方的招标文件和中标通知书以及本投标文件将构成约束我们双方的合同。</w:t>
      </w:r>
    </w:p>
    <w:p w14:paraId="3F78A3C4">
      <w:pPr>
        <w:pageBreakBefore w:val="0"/>
        <w:kinsoku/>
        <w:wordWrap/>
        <w:topLinePunct w:val="0"/>
        <w:bidi w:val="0"/>
        <w:spacing w:line="400" w:lineRule="exact"/>
        <w:ind w:firstLine="480" w:firstLineChars="200"/>
        <w:rPr>
          <w:rFonts w:hint="eastAsia" w:ascii="宋体" w:hAnsi="宋体" w:eastAsia="宋体" w:cs="宋体"/>
          <w:color w:val="0C0C0C"/>
          <w:sz w:val="24"/>
          <w:szCs w:val="24"/>
          <w:highlight w:val="none"/>
        </w:rPr>
      </w:pPr>
      <w:r>
        <w:rPr>
          <w:rFonts w:hint="eastAsia" w:ascii="宋体" w:hAnsi="宋体" w:eastAsia="宋体" w:cs="宋体"/>
          <w:color w:val="0C0C0C"/>
          <w:sz w:val="24"/>
          <w:szCs w:val="24"/>
          <w:highlight w:val="none"/>
        </w:rPr>
        <w:t>11</w:t>
      </w:r>
      <w:r>
        <w:rPr>
          <w:rFonts w:hint="eastAsia" w:ascii="宋体" w:hAnsi="宋体" w:eastAsia="宋体" w:cs="宋体"/>
          <w:color w:val="0C0C0C"/>
          <w:sz w:val="24"/>
          <w:szCs w:val="24"/>
          <w:highlight w:val="none"/>
          <w:lang w:val="en-US" w:eastAsia="zh-CN"/>
        </w:rPr>
        <w:t>.</w:t>
      </w:r>
      <w:r>
        <w:rPr>
          <w:rFonts w:hint="eastAsia" w:ascii="宋体" w:hAnsi="宋体" w:eastAsia="宋体" w:cs="宋体"/>
          <w:color w:val="0C0C0C"/>
          <w:sz w:val="24"/>
          <w:szCs w:val="24"/>
          <w:highlight w:val="none"/>
        </w:rPr>
        <w:t>在整个招标过程中，我方若有违规行为，贵方可按相关的法律法规给予惩罚。</w:t>
      </w:r>
    </w:p>
    <w:p w14:paraId="46FC022A">
      <w:pPr>
        <w:keepNext w:val="0"/>
        <w:keepLines w:val="0"/>
        <w:pageBreakBefore w:val="0"/>
        <w:widowControl w:val="0"/>
        <w:kinsoku/>
        <w:wordWrap/>
        <w:overflowPunct/>
        <w:topLinePunct w:val="0"/>
        <w:autoSpaceDE/>
        <w:autoSpaceDN/>
        <w:bidi w:val="0"/>
        <w:adjustRightInd/>
        <w:snapToGrid/>
        <w:spacing w:before="157" w:beforeLines="50" w:line="400" w:lineRule="exact"/>
        <w:textAlignment w:val="auto"/>
        <w:rPr>
          <w:rFonts w:hint="eastAsia" w:ascii="宋体" w:hAnsi="宋体" w:eastAsia="宋体" w:cs="宋体"/>
          <w:color w:val="0C0C0C"/>
          <w:sz w:val="24"/>
          <w:szCs w:val="24"/>
          <w:highlight w:val="none"/>
        </w:rPr>
      </w:pPr>
      <w:r>
        <w:rPr>
          <w:rFonts w:hint="eastAsia" w:ascii="宋体" w:hAnsi="宋体" w:eastAsia="宋体" w:cs="宋体"/>
          <w:color w:val="0C0C0C"/>
          <w:sz w:val="24"/>
          <w:szCs w:val="24"/>
          <w:highlight w:val="none"/>
        </w:rPr>
        <w:t>投标单位：（盖单位章）</w:t>
      </w:r>
    </w:p>
    <w:p w14:paraId="7D03D4B3">
      <w:pPr>
        <w:pageBreakBefore w:val="0"/>
        <w:kinsoku/>
        <w:wordWrap/>
        <w:topLinePunct w:val="0"/>
        <w:bidi w:val="0"/>
        <w:spacing w:line="400" w:lineRule="exact"/>
        <w:rPr>
          <w:rFonts w:hint="eastAsia" w:ascii="宋体" w:hAnsi="宋体" w:eastAsia="宋体" w:cs="宋体"/>
          <w:color w:val="0C0C0C"/>
          <w:sz w:val="24"/>
          <w:szCs w:val="24"/>
          <w:highlight w:val="none"/>
        </w:rPr>
      </w:pPr>
      <w:r>
        <w:rPr>
          <w:rFonts w:hint="eastAsia" w:ascii="宋体" w:hAnsi="宋体" w:eastAsia="宋体" w:cs="宋体"/>
          <w:color w:val="0C0C0C"/>
          <w:sz w:val="24"/>
          <w:szCs w:val="24"/>
          <w:highlight w:val="none"/>
        </w:rPr>
        <w:t>单位地址：</w:t>
      </w:r>
    </w:p>
    <w:p w14:paraId="740256EA">
      <w:pPr>
        <w:pageBreakBefore w:val="0"/>
        <w:kinsoku/>
        <w:wordWrap/>
        <w:topLinePunct w:val="0"/>
        <w:bidi w:val="0"/>
        <w:spacing w:line="400" w:lineRule="exact"/>
        <w:rPr>
          <w:rFonts w:hint="eastAsia" w:ascii="宋体" w:hAnsi="宋体" w:eastAsia="宋体" w:cs="宋体"/>
          <w:color w:val="0C0C0C"/>
          <w:sz w:val="24"/>
          <w:szCs w:val="24"/>
          <w:highlight w:val="none"/>
        </w:rPr>
      </w:pPr>
      <w:r>
        <w:rPr>
          <w:rFonts w:hint="eastAsia" w:ascii="宋体" w:hAnsi="宋体" w:eastAsia="宋体" w:cs="宋体"/>
          <w:color w:val="0C0C0C"/>
          <w:sz w:val="24"/>
          <w:szCs w:val="24"/>
          <w:highlight w:val="none"/>
        </w:rPr>
        <w:t>法定代表人（签名或印鉴）：</w:t>
      </w:r>
    </w:p>
    <w:p w14:paraId="1E901428">
      <w:pPr>
        <w:pageBreakBefore w:val="0"/>
        <w:kinsoku/>
        <w:wordWrap/>
        <w:topLinePunct w:val="0"/>
        <w:bidi w:val="0"/>
        <w:spacing w:line="400" w:lineRule="exact"/>
        <w:rPr>
          <w:rFonts w:hint="eastAsia" w:ascii="宋体" w:hAnsi="宋体" w:eastAsia="宋体" w:cs="宋体"/>
          <w:color w:val="0C0C0C"/>
          <w:sz w:val="24"/>
          <w:szCs w:val="24"/>
          <w:highlight w:val="none"/>
        </w:rPr>
      </w:pPr>
      <w:r>
        <w:rPr>
          <w:rFonts w:hint="eastAsia" w:ascii="宋体" w:hAnsi="宋体" w:eastAsia="宋体" w:cs="宋体"/>
          <w:color w:val="0C0C0C"/>
          <w:sz w:val="24"/>
          <w:szCs w:val="24"/>
          <w:highlight w:val="none"/>
        </w:rPr>
        <w:t>授权委托代理人（签名或印鉴）：</w:t>
      </w:r>
    </w:p>
    <w:p w14:paraId="1BFC9A18">
      <w:pPr>
        <w:pageBreakBefore w:val="0"/>
        <w:kinsoku/>
        <w:wordWrap/>
        <w:topLinePunct w:val="0"/>
        <w:bidi w:val="0"/>
        <w:spacing w:line="400" w:lineRule="exact"/>
        <w:jc w:val="center"/>
        <w:rPr>
          <w:rFonts w:hint="eastAsia" w:ascii="宋体" w:hAnsi="宋体" w:eastAsia="宋体" w:cs="宋体"/>
          <w:color w:val="0C0C0C"/>
          <w:sz w:val="24"/>
          <w:szCs w:val="24"/>
          <w:highlight w:val="none"/>
        </w:rPr>
      </w:pPr>
      <w:r>
        <w:rPr>
          <w:rFonts w:hint="eastAsia" w:ascii="宋体" w:hAnsi="宋体" w:eastAsia="宋体" w:cs="宋体"/>
          <w:color w:val="0C0C0C"/>
          <w:sz w:val="24"/>
          <w:szCs w:val="24"/>
          <w:highlight w:val="none"/>
        </w:rPr>
        <w:t xml:space="preserve">                                                年   月   日</w:t>
      </w:r>
    </w:p>
    <w:p w14:paraId="0107F061">
      <w:pPr>
        <w:pageBreakBefore w:val="0"/>
        <w:kinsoku/>
        <w:wordWrap/>
        <w:topLinePunct w:val="0"/>
        <w:bidi w:val="0"/>
        <w:spacing w:line="400" w:lineRule="exact"/>
        <w:jc w:val="center"/>
        <w:rPr>
          <w:rFonts w:hint="eastAsia" w:ascii="宋体" w:hAnsi="宋体" w:eastAsia="宋体" w:cs="宋体"/>
          <w:b/>
          <w:sz w:val="24"/>
          <w:szCs w:val="24"/>
          <w:highlight w:val="none"/>
        </w:rPr>
        <w:sectPr>
          <w:footerReference r:id="rId4" w:type="default"/>
          <w:pgSz w:w="11906" w:h="16838"/>
          <w:pgMar w:top="1134" w:right="1417" w:bottom="1134" w:left="1417" w:header="851" w:footer="992" w:gutter="0"/>
          <w:pgNumType w:fmt="decimal" w:start="1"/>
          <w:cols w:space="720" w:num="1"/>
          <w:docGrid w:type="lines" w:linePitch="312" w:charSpace="0"/>
        </w:sectPr>
      </w:pPr>
    </w:p>
    <w:p w14:paraId="05DDBD1C">
      <w:pPr>
        <w:pStyle w:val="4"/>
        <w:pageBreakBefore w:val="0"/>
        <w:kinsoku/>
        <w:wordWrap/>
        <w:topLinePunct w:val="0"/>
        <w:bidi w:val="0"/>
        <w:spacing w:before="0" w:after="0" w:line="400" w:lineRule="exact"/>
        <w:jc w:val="center"/>
        <w:rPr>
          <w:rFonts w:hint="eastAsia" w:ascii="宋体" w:hAnsi="宋体" w:eastAsia="宋体" w:cs="宋体"/>
          <w:color w:val="0D0D0D" w:themeColor="text1" w:themeTint="F2"/>
          <w:sz w:val="32"/>
          <w:szCs w:val="32"/>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32"/>
          <w:szCs w:val="32"/>
          <w:highlight w:val="none"/>
          <w14:textFill>
            <w14:solidFill>
              <w14:schemeClr w14:val="tx1">
                <w14:lumMod w14:val="95000"/>
                <w14:lumOff w14:val="5000"/>
              </w14:schemeClr>
            </w14:solidFill>
          </w14:textFill>
        </w:rPr>
        <w:t>四、明细报价一览表</w:t>
      </w:r>
    </w:p>
    <w:tbl>
      <w:tblPr>
        <w:tblStyle w:val="26"/>
        <w:tblpPr w:leftFromText="180" w:rightFromText="180" w:vertAnchor="text" w:horzAnchor="margin" w:tblpY="218"/>
        <w:tblW w:w="92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5"/>
        <w:gridCol w:w="2136"/>
        <w:gridCol w:w="543"/>
        <w:gridCol w:w="461"/>
        <w:gridCol w:w="1533"/>
        <w:gridCol w:w="1505"/>
        <w:gridCol w:w="1505"/>
      </w:tblGrid>
      <w:tr w14:paraId="3F72F4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noWrap w:val="0"/>
            <w:vAlign w:val="center"/>
          </w:tcPr>
          <w:p w14:paraId="34C971FB">
            <w:pPr>
              <w:pStyle w:val="56"/>
              <w:pageBreakBefore w:val="0"/>
              <w:kinsoku/>
              <w:wordWrap/>
              <w:topLinePunct w:val="0"/>
              <w:bidi w:val="0"/>
              <w:spacing w:line="400" w:lineRule="exact"/>
              <w:ind w:firstLine="0" w:firstLineChars="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主要元件名称</w:t>
            </w:r>
          </w:p>
        </w:tc>
        <w:tc>
          <w:tcPr>
            <w:tcW w:w="2136" w:type="dxa"/>
            <w:noWrap w:val="0"/>
            <w:vAlign w:val="center"/>
          </w:tcPr>
          <w:p w14:paraId="37DDD00A">
            <w:pPr>
              <w:pStyle w:val="56"/>
              <w:pageBreakBefore w:val="0"/>
              <w:kinsoku/>
              <w:wordWrap/>
              <w:topLinePunct w:val="0"/>
              <w:bidi w:val="0"/>
              <w:spacing w:line="400" w:lineRule="exact"/>
              <w:ind w:firstLine="0" w:firstLineChars="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型号/规格</w:t>
            </w:r>
          </w:p>
        </w:tc>
        <w:tc>
          <w:tcPr>
            <w:tcW w:w="543" w:type="dxa"/>
            <w:noWrap w:val="0"/>
            <w:vAlign w:val="center"/>
          </w:tcPr>
          <w:p w14:paraId="562A8767">
            <w:pPr>
              <w:pStyle w:val="56"/>
              <w:pageBreakBefore w:val="0"/>
              <w:kinsoku/>
              <w:wordWrap/>
              <w:topLinePunct w:val="0"/>
              <w:bidi w:val="0"/>
              <w:spacing w:line="400" w:lineRule="exact"/>
              <w:ind w:firstLine="0" w:firstLineChars="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单位</w:t>
            </w:r>
          </w:p>
        </w:tc>
        <w:tc>
          <w:tcPr>
            <w:tcW w:w="461" w:type="dxa"/>
            <w:noWrap w:val="0"/>
            <w:vAlign w:val="center"/>
          </w:tcPr>
          <w:p w14:paraId="56600ED2">
            <w:pPr>
              <w:pStyle w:val="56"/>
              <w:pageBreakBefore w:val="0"/>
              <w:kinsoku/>
              <w:wordWrap/>
              <w:topLinePunct w:val="0"/>
              <w:bidi w:val="0"/>
              <w:spacing w:line="400" w:lineRule="exact"/>
              <w:ind w:firstLine="0" w:firstLineChars="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数量</w:t>
            </w:r>
          </w:p>
        </w:tc>
        <w:tc>
          <w:tcPr>
            <w:tcW w:w="1533" w:type="dxa"/>
            <w:noWrap w:val="0"/>
            <w:vAlign w:val="center"/>
          </w:tcPr>
          <w:p w14:paraId="263F2DA1">
            <w:pPr>
              <w:pStyle w:val="56"/>
              <w:pageBreakBefore w:val="0"/>
              <w:kinsoku/>
              <w:wordWrap/>
              <w:topLinePunct w:val="0"/>
              <w:bidi w:val="0"/>
              <w:spacing w:line="400" w:lineRule="exact"/>
              <w:ind w:firstLine="0" w:firstLineChars="0"/>
              <w:jc w:val="center"/>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推荐</w:t>
            </w:r>
            <w:r>
              <w:rPr>
                <w:rFonts w:hint="eastAsia" w:ascii="宋体" w:hAnsi="宋体" w:eastAsia="宋体" w:cs="宋体"/>
                <w:sz w:val="24"/>
                <w:szCs w:val="24"/>
                <w:highlight w:val="none"/>
              </w:rPr>
              <w:t>品牌</w:t>
            </w:r>
          </w:p>
        </w:tc>
        <w:tc>
          <w:tcPr>
            <w:tcW w:w="1505" w:type="dxa"/>
            <w:noWrap w:val="0"/>
            <w:vAlign w:val="center"/>
          </w:tcPr>
          <w:p w14:paraId="1C58DDF0">
            <w:pPr>
              <w:pStyle w:val="56"/>
              <w:pageBreakBefore w:val="0"/>
              <w:kinsoku/>
              <w:wordWrap/>
              <w:topLinePunct w:val="0"/>
              <w:bidi w:val="0"/>
              <w:spacing w:line="400" w:lineRule="exact"/>
              <w:ind w:firstLine="0" w:firstLineChars="0"/>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单价</w:t>
            </w:r>
          </w:p>
        </w:tc>
        <w:tc>
          <w:tcPr>
            <w:tcW w:w="1505" w:type="dxa"/>
            <w:noWrap w:val="0"/>
            <w:vAlign w:val="center"/>
          </w:tcPr>
          <w:p w14:paraId="0D9E5B07">
            <w:pPr>
              <w:pStyle w:val="56"/>
              <w:pageBreakBefore w:val="0"/>
              <w:kinsoku/>
              <w:wordWrap/>
              <w:topLinePunct w:val="0"/>
              <w:bidi w:val="0"/>
              <w:spacing w:line="400" w:lineRule="exact"/>
              <w:ind w:firstLine="0" w:firstLineChars="0"/>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合计</w:t>
            </w:r>
          </w:p>
        </w:tc>
      </w:tr>
      <w:tr w14:paraId="11B41C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noWrap w:val="0"/>
            <w:vAlign w:val="center"/>
          </w:tcPr>
          <w:p w14:paraId="6B00A248">
            <w:pPr>
              <w:pStyle w:val="56"/>
              <w:pageBreakBefore w:val="0"/>
              <w:kinsoku/>
              <w:wordWrap/>
              <w:topLinePunct w:val="0"/>
              <w:bidi w:val="0"/>
              <w:spacing w:line="400" w:lineRule="exact"/>
              <w:ind w:firstLine="0" w:firstLineChars="0"/>
              <w:jc w:val="center"/>
              <w:rPr>
                <w:rFonts w:hint="eastAsia" w:ascii="宋体" w:hAnsi="宋体" w:eastAsia="宋体" w:cs="宋体"/>
                <w:sz w:val="24"/>
                <w:szCs w:val="24"/>
                <w:highlight w:val="none"/>
              </w:rPr>
            </w:pPr>
            <w:r>
              <w:rPr>
                <w:rFonts w:hint="eastAsia" w:ascii="宋体" w:hAnsi="宋体" w:eastAsia="宋体" w:cs="宋体"/>
                <w:color w:val="000000"/>
                <w:kern w:val="0"/>
                <w:sz w:val="24"/>
                <w:szCs w:val="24"/>
                <w:highlight w:val="none"/>
              </w:rPr>
              <w:t>有源滤波器模块</w:t>
            </w:r>
          </w:p>
        </w:tc>
        <w:tc>
          <w:tcPr>
            <w:tcW w:w="2136" w:type="dxa"/>
            <w:noWrap w:val="0"/>
            <w:vAlign w:val="center"/>
          </w:tcPr>
          <w:p w14:paraId="71FF713A">
            <w:pPr>
              <w:pStyle w:val="56"/>
              <w:pageBreakBefore w:val="0"/>
              <w:kinsoku/>
              <w:wordWrap/>
              <w:topLinePunct w:val="0"/>
              <w:bidi w:val="0"/>
              <w:spacing w:line="400" w:lineRule="exact"/>
              <w:ind w:firstLine="0" w:firstLineChars="0"/>
              <w:jc w:val="center"/>
              <w:rPr>
                <w:rFonts w:hint="eastAsia" w:ascii="宋体" w:hAnsi="宋体" w:eastAsia="宋体" w:cs="宋体"/>
                <w:sz w:val="24"/>
                <w:szCs w:val="24"/>
                <w:highlight w:val="none"/>
              </w:rPr>
            </w:pPr>
            <w:r>
              <w:rPr>
                <w:rFonts w:hint="eastAsia" w:ascii="宋体" w:hAnsi="宋体" w:eastAsia="宋体" w:cs="宋体"/>
                <w:color w:val="000000"/>
                <w:sz w:val="24"/>
                <w:szCs w:val="24"/>
                <w:highlight w:val="none"/>
              </w:rPr>
              <w:t>150A/400V/4L</w:t>
            </w:r>
          </w:p>
        </w:tc>
        <w:tc>
          <w:tcPr>
            <w:tcW w:w="543" w:type="dxa"/>
            <w:noWrap w:val="0"/>
            <w:vAlign w:val="center"/>
          </w:tcPr>
          <w:p w14:paraId="658EB182">
            <w:pPr>
              <w:pStyle w:val="56"/>
              <w:pageBreakBefore w:val="0"/>
              <w:kinsoku/>
              <w:wordWrap/>
              <w:topLinePunct w:val="0"/>
              <w:bidi w:val="0"/>
              <w:spacing w:line="400" w:lineRule="exact"/>
              <w:ind w:firstLine="0" w:firstLineChars="0"/>
              <w:jc w:val="center"/>
              <w:rPr>
                <w:rFonts w:hint="eastAsia" w:ascii="宋体" w:hAnsi="宋体" w:eastAsia="宋体" w:cs="宋体"/>
                <w:sz w:val="24"/>
                <w:szCs w:val="24"/>
                <w:highlight w:val="none"/>
              </w:rPr>
            </w:pPr>
            <w:r>
              <w:rPr>
                <w:rFonts w:hint="eastAsia" w:ascii="宋体" w:hAnsi="宋体" w:eastAsia="宋体" w:cs="宋体"/>
                <w:color w:val="000000"/>
                <w:sz w:val="24"/>
                <w:szCs w:val="24"/>
                <w:highlight w:val="none"/>
              </w:rPr>
              <w:t>只</w:t>
            </w:r>
          </w:p>
        </w:tc>
        <w:tc>
          <w:tcPr>
            <w:tcW w:w="461" w:type="dxa"/>
            <w:noWrap w:val="0"/>
            <w:vAlign w:val="center"/>
          </w:tcPr>
          <w:p w14:paraId="288315E1">
            <w:pPr>
              <w:pStyle w:val="56"/>
              <w:pageBreakBefore w:val="0"/>
              <w:kinsoku/>
              <w:wordWrap/>
              <w:topLinePunct w:val="0"/>
              <w:bidi w:val="0"/>
              <w:spacing w:line="400" w:lineRule="exact"/>
              <w:ind w:firstLine="0" w:firstLineChars="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2</w:t>
            </w:r>
          </w:p>
        </w:tc>
        <w:tc>
          <w:tcPr>
            <w:tcW w:w="1533" w:type="dxa"/>
            <w:noWrap w:val="0"/>
            <w:vAlign w:val="center"/>
          </w:tcPr>
          <w:p w14:paraId="706112C4">
            <w:pPr>
              <w:pStyle w:val="56"/>
              <w:pageBreakBefore w:val="0"/>
              <w:kinsoku/>
              <w:wordWrap/>
              <w:topLinePunct w:val="0"/>
              <w:bidi w:val="0"/>
              <w:spacing w:line="400" w:lineRule="exact"/>
              <w:ind w:firstLine="0" w:firstLineChars="0"/>
              <w:jc w:val="center"/>
              <w:rPr>
                <w:rFonts w:hint="eastAsia" w:ascii="宋体" w:hAnsi="宋体" w:eastAsia="宋体" w:cs="宋体"/>
                <w:color w:val="FF0000"/>
                <w:sz w:val="24"/>
                <w:szCs w:val="24"/>
                <w:highlight w:val="none"/>
                <w:lang w:val="en-US" w:eastAsia="zh-CN"/>
              </w:rPr>
            </w:pPr>
            <w:r>
              <w:rPr>
                <w:rFonts w:hint="eastAsia" w:ascii="宋体" w:hAnsi="宋体" w:eastAsia="宋体" w:cs="宋体"/>
                <w:color w:val="auto"/>
                <w:sz w:val="24"/>
                <w:szCs w:val="24"/>
                <w:highlight w:val="none"/>
                <w:lang w:val="en-US" w:eastAsia="zh-CN"/>
              </w:rPr>
              <w:t>符合技术第5点、第6点、第七点要求</w:t>
            </w:r>
          </w:p>
        </w:tc>
        <w:tc>
          <w:tcPr>
            <w:tcW w:w="1505" w:type="dxa"/>
            <w:noWrap w:val="0"/>
            <w:vAlign w:val="center"/>
          </w:tcPr>
          <w:p w14:paraId="2CE39C1E">
            <w:pPr>
              <w:pStyle w:val="56"/>
              <w:pageBreakBefore w:val="0"/>
              <w:kinsoku/>
              <w:wordWrap/>
              <w:topLinePunct w:val="0"/>
              <w:bidi w:val="0"/>
              <w:spacing w:line="400" w:lineRule="exact"/>
              <w:ind w:firstLine="0" w:firstLineChars="0"/>
              <w:jc w:val="center"/>
              <w:rPr>
                <w:rFonts w:hint="eastAsia" w:ascii="宋体" w:hAnsi="宋体" w:eastAsia="宋体" w:cs="宋体"/>
                <w:color w:val="auto"/>
                <w:sz w:val="24"/>
                <w:szCs w:val="24"/>
                <w:highlight w:val="none"/>
                <w:lang w:val="en-US" w:eastAsia="zh-CN"/>
              </w:rPr>
            </w:pPr>
          </w:p>
        </w:tc>
        <w:tc>
          <w:tcPr>
            <w:tcW w:w="1505" w:type="dxa"/>
            <w:noWrap w:val="0"/>
            <w:vAlign w:val="center"/>
          </w:tcPr>
          <w:p w14:paraId="2C01F808">
            <w:pPr>
              <w:pStyle w:val="56"/>
              <w:pageBreakBefore w:val="0"/>
              <w:kinsoku/>
              <w:wordWrap/>
              <w:topLinePunct w:val="0"/>
              <w:bidi w:val="0"/>
              <w:spacing w:line="400" w:lineRule="exact"/>
              <w:ind w:firstLine="0" w:firstLineChars="0"/>
              <w:jc w:val="center"/>
              <w:rPr>
                <w:rFonts w:hint="eastAsia" w:ascii="宋体" w:hAnsi="宋体" w:eastAsia="宋体" w:cs="宋体"/>
                <w:color w:val="auto"/>
                <w:sz w:val="24"/>
                <w:szCs w:val="24"/>
                <w:highlight w:val="none"/>
                <w:lang w:val="en-US" w:eastAsia="zh-CN"/>
              </w:rPr>
            </w:pPr>
          </w:p>
        </w:tc>
      </w:tr>
      <w:tr w14:paraId="77E33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noWrap w:val="0"/>
            <w:vAlign w:val="center"/>
          </w:tcPr>
          <w:p w14:paraId="1880A11C">
            <w:pPr>
              <w:pStyle w:val="56"/>
              <w:pageBreakBefore w:val="0"/>
              <w:kinsoku/>
              <w:wordWrap/>
              <w:topLinePunct w:val="0"/>
              <w:bidi w:val="0"/>
              <w:spacing w:line="400" w:lineRule="exact"/>
              <w:ind w:firstLine="0" w:firstLineChars="0"/>
              <w:jc w:val="center"/>
              <w:rPr>
                <w:rFonts w:hint="eastAsia" w:ascii="宋体" w:hAnsi="宋体" w:eastAsia="宋体" w:cs="宋体"/>
                <w:sz w:val="24"/>
                <w:szCs w:val="24"/>
                <w:highlight w:val="none"/>
              </w:rPr>
            </w:pPr>
            <w:r>
              <w:rPr>
                <w:rFonts w:hint="eastAsia" w:ascii="宋体" w:hAnsi="宋体" w:eastAsia="宋体" w:cs="宋体"/>
                <w:color w:val="000000"/>
                <w:kern w:val="0"/>
                <w:sz w:val="24"/>
                <w:szCs w:val="24"/>
                <w:highlight w:val="none"/>
              </w:rPr>
              <w:t>控制屏</w:t>
            </w:r>
          </w:p>
        </w:tc>
        <w:tc>
          <w:tcPr>
            <w:tcW w:w="2136" w:type="dxa"/>
            <w:noWrap w:val="0"/>
            <w:vAlign w:val="center"/>
          </w:tcPr>
          <w:p w14:paraId="6D1C1F3E">
            <w:pPr>
              <w:pStyle w:val="56"/>
              <w:pageBreakBefore w:val="0"/>
              <w:kinsoku/>
              <w:wordWrap/>
              <w:topLinePunct w:val="0"/>
              <w:bidi w:val="0"/>
              <w:spacing w:line="400" w:lineRule="exact"/>
              <w:ind w:firstLine="0" w:firstLineChars="0"/>
              <w:jc w:val="center"/>
              <w:rPr>
                <w:rFonts w:hint="eastAsia" w:ascii="宋体" w:hAnsi="宋体" w:eastAsia="宋体" w:cs="宋体"/>
                <w:sz w:val="24"/>
                <w:szCs w:val="24"/>
                <w:highlight w:val="none"/>
              </w:rPr>
            </w:pPr>
            <w:r>
              <w:rPr>
                <w:rFonts w:hint="eastAsia" w:ascii="宋体" w:hAnsi="宋体" w:eastAsia="宋体" w:cs="宋体"/>
                <w:color w:val="000000"/>
                <w:kern w:val="0"/>
                <w:sz w:val="24"/>
                <w:szCs w:val="24"/>
                <w:highlight w:val="none"/>
              </w:rPr>
              <w:t>11寸 彩屏</w:t>
            </w:r>
          </w:p>
        </w:tc>
        <w:tc>
          <w:tcPr>
            <w:tcW w:w="543" w:type="dxa"/>
            <w:noWrap w:val="0"/>
            <w:vAlign w:val="center"/>
          </w:tcPr>
          <w:p w14:paraId="21F7927E">
            <w:pPr>
              <w:pStyle w:val="56"/>
              <w:pageBreakBefore w:val="0"/>
              <w:kinsoku/>
              <w:wordWrap/>
              <w:topLinePunct w:val="0"/>
              <w:bidi w:val="0"/>
              <w:spacing w:line="400" w:lineRule="exact"/>
              <w:ind w:firstLine="0" w:firstLineChars="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只</w:t>
            </w:r>
          </w:p>
        </w:tc>
        <w:tc>
          <w:tcPr>
            <w:tcW w:w="461" w:type="dxa"/>
            <w:noWrap w:val="0"/>
            <w:vAlign w:val="center"/>
          </w:tcPr>
          <w:p w14:paraId="09ABED6D">
            <w:pPr>
              <w:pStyle w:val="56"/>
              <w:pageBreakBefore w:val="0"/>
              <w:kinsoku/>
              <w:wordWrap/>
              <w:topLinePunct w:val="0"/>
              <w:bidi w:val="0"/>
              <w:spacing w:line="400" w:lineRule="exact"/>
              <w:ind w:firstLine="0" w:firstLineChars="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1</w:t>
            </w:r>
          </w:p>
        </w:tc>
        <w:tc>
          <w:tcPr>
            <w:tcW w:w="1533" w:type="dxa"/>
            <w:noWrap w:val="0"/>
            <w:vAlign w:val="center"/>
          </w:tcPr>
          <w:p w14:paraId="43914B61">
            <w:pPr>
              <w:pStyle w:val="56"/>
              <w:pageBreakBefore w:val="0"/>
              <w:kinsoku/>
              <w:wordWrap/>
              <w:topLinePunct w:val="0"/>
              <w:bidi w:val="0"/>
              <w:spacing w:line="400" w:lineRule="exact"/>
              <w:ind w:firstLine="0" w:firstLineChars="0"/>
              <w:jc w:val="center"/>
              <w:rPr>
                <w:rFonts w:hint="eastAsia" w:ascii="宋体" w:hAnsi="宋体" w:eastAsia="宋体" w:cs="宋体"/>
                <w:color w:val="FF0000"/>
                <w:sz w:val="24"/>
                <w:szCs w:val="24"/>
                <w:highlight w:val="none"/>
              </w:rPr>
            </w:pPr>
            <w:r>
              <w:rPr>
                <w:rFonts w:hint="eastAsia" w:ascii="宋体" w:hAnsi="宋体" w:eastAsia="宋体" w:cs="宋体"/>
                <w:color w:val="auto"/>
                <w:sz w:val="24"/>
                <w:szCs w:val="24"/>
                <w:highlight w:val="none"/>
              </w:rPr>
              <w:t>昆仑通态、和利时、台达</w:t>
            </w:r>
          </w:p>
        </w:tc>
        <w:tc>
          <w:tcPr>
            <w:tcW w:w="1505" w:type="dxa"/>
            <w:noWrap w:val="0"/>
            <w:vAlign w:val="center"/>
          </w:tcPr>
          <w:p w14:paraId="7A115DE5">
            <w:pPr>
              <w:pStyle w:val="56"/>
              <w:pageBreakBefore w:val="0"/>
              <w:kinsoku/>
              <w:wordWrap/>
              <w:topLinePunct w:val="0"/>
              <w:bidi w:val="0"/>
              <w:spacing w:line="400" w:lineRule="exact"/>
              <w:ind w:firstLine="0" w:firstLineChars="0"/>
              <w:jc w:val="center"/>
              <w:rPr>
                <w:rFonts w:hint="eastAsia" w:ascii="宋体" w:hAnsi="宋体" w:eastAsia="宋体" w:cs="宋体"/>
                <w:color w:val="auto"/>
                <w:sz w:val="24"/>
                <w:szCs w:val="24"/>
                <w:highlight w:val="none"/>
              </w:rPr>
            </w:pPr>
          </w:p>
        </w:tc>
        <w:tc>
          <w:tcPr>
            <w:tcW w:w="1505" w:type="dxa"/>
            <w:noWrap w:val="0"/>
            <w:vAlign w:val="center"/>
          </w:tcPr>
          <w:p w14:paraId="70CEFE25">
            <w:pPr>
              <w:pStyle w:val="56"/>
              <w:pageBreakBefore w:val="0"/>
              <w:kinsoku/>
              <w:wordWrap/>
              <w:topLinePunct w:val="0"/>
              <w:bidi w:val="0"/>
              <w:spacing w:line="400" w:lineRule="exact"/>
              <w:ind w:firstLine="0" w:firstLineChars="0"/>
              <w:jc w:val="center"/>
              <w:rPr>
                <w:rFonts w:hint="eastAsia" w:ascii="宋体" w:hAnsi="宋体" w:eastAsia="宋体" w:cs="宋体"/>
                <w:color w:val="auto"/>
                <w:sz w:val="24"/>
                <w:szCs w:val="24"/>
                <w:highlight w:val="none"/>
              </w:rPr>
            </w:pPr>
          </w:p>
        </w:tc>
      </w:tr>
      <w:tr w14:paraId="5F240F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8" w:hRule="atLeast"/>
        </w:trPr>
        <w:tc>
          <w:tcPr>
            <w:tcW w:w="1555" w:type="dxa"/>
            <w:noWrap w:val="0"/>
            <w:vAlign w:val="center"/>
          </w:tcPr>
          <w:p w14:paraId="0745AD5F">
            <w:pPr>
              <w:pStyle w:val="56"/>
              <w:pageBreakBefore w:val="0"/>
              <w:kinsoku/>
              <w:wordWrap/>
              <w:topLinePunct w:val="0"/>
              <w:bidi w:val="0"/>
              <w:spacing w:line="400" w:lineRule="exact"/>
              <w:ind w:firstLine="0" w:firstLineChars="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电流互感器</w:t>
            </w:r>
          </w:p>
        </w:tc>
        <w:tc>
          <w:tcPr>
            <w:tcW w:w="2136" w:type="dxa"/>
            <w:noWrap w:val="0"/>
            <w:vAlign w:val="center"/>
          </w:tcPr>
          <w:p w14:paraId="193C9AD9">
            <w:pPr>
              <w:pStyle w:val="56"/>
              <w:pageBreakBefore w:val="0"/>
              <w:kinsoku/>
              <w:wordWrap/>
              <w:topLinePunct w:val="0"/>
              <w:bidi w:val="0"/>
              <w:spacing w:line="400" w:lineRule="exact"/>
              <w:ind w:firstLine="0" w:firstLineChars="0"/>
              <w:jc w:val="center"/>
              <w:rPr>
                <w:rFonts w:hint="eastAsia" w:ascii="宋体" w:hAnsi="宋体" w:eastAsia="宋体" w:cs="宋体"/>
                <w:sz w:val="24"/>
                <w:szCs w:val="24"/>
                <w:highlight w:val="none"/>
              </w:rPr>
            </w:pPr>
            <w:r>
              <w:rPr>
                <w:rFonts w:hint="eastAsia" w:ascii="宋体" w:hAnsi="宋体" w:eastAsia="宋体" w:cs="宋体"/>
                <w:color w:val="000000"/>
                <w:kern w:val="0"/>
                <w:sz w:val="24"/>
                <w:szCs w:val="24"/>
                <w:highlight w:val="none"/>
              </w:rPr>
              <w:t>2000：5/0.5级/开口式</w:t>
            </w:r>
          </w:p>
        </w:tc>
        <w:tc>
          <w:tcPr>
            <w:tcW w:w="543" w:type="dxa"/>
            <w:noWrap w:val="0"/>
            <w:vAlign w:val="center"/>
          </w:tcPr>
          <w:p w14:paraId="04F5771E">
            <w:pPr>
              <w:pStyle w:val="56"/>
              <w:pageBreakBefore w:val="0"/>
              <w:kinsoku/>
              <w:wordWrap/>
              <w:topLinePunct w:val="0"/>
              <w:bidi w:val="0"/>
              <w:spacing w:line="400" w:lineRule="exact"/>
              <w:ind w:firstLine="0" w:firstLineChars="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只</w:t>
            </w:r>
          </w:p>
        </w:tc>
        <w:tc>
          <w:tcPr>
            <w:tcW w:w="461" w:type="dxa"/>
            <w:noWrap w:val="0"/>
            <w:vAlign w:val="center"/>
          </w:tcPr>
          <w:p w14:paraId="61164C99">
            <w:pPr>
              <w:pStyle w:val="56"/>
              <w:pageBreakBefore w:val="0"/>
              <w:kinsoku/>
              <w:wordWrap/>
              <w:topLinePunct w:val="0"/>
              <w:bidi w:val="0"/>
              <w:spacing w:line="400" w:lineRule="exact"/>
              <w:ind w:firstLine="0" w:firstLineChars="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6</w:t>
            </w:r>
          </w:p>
        </w:tc>
        <w:tc>
          <w:tcPr>
            <w:tcW w:w="1533" w:type="dxa"/>
            <w:noWrap w:val="0"/>
            <w:vAlign w:val="center"/>
          </w:tcPr>
          <w:p w14:paraId="34A8FC9E">
            <w:pPr>
              <w:pStyle w:val="56"/>
              <w:pageBreakBefore w:val="0"/>
              <w:kinsoku/>
              <w:wordWrap/>
              <w:topLinePunct w:val="0"/>
              <w:bidi w:val="0"/>
              <w:spacing w:line="400" w:lineRule="exact"/>
              <w:ind w:firstLine="0" w:firstLineChars="0"/>
              <w:jc w:val="center"/>
              <w:rPr>
                <w:rFonts w:hint="eastAsia" w:ascii="宋体" w:hAnsi="宋体" w:eastAsia="宋体" w:cs="宋体"/>
                <w:color w:val="FF0000"/>
                <w:sz w:val="24"/>
                <w:szCs w:val="24"/>
                <w:highlight w:val="none"/>
              </w:rPr>
            </w:pPr>
          </w:p>
          <w:p w14:paraId="541CAFDC">
            <w:pPr>
              <w:pStyle w:val="56"/>
              <w:pageBreakBefore w:val="0"/>
              <w:kinsoku/>
              <w:wordWrap/>
              <w:topLinePunct w:val="0"/>
              <w:bidi w:val="0"/>
              <w:spacing w:line="400" w:lineRule="exact"/>
              <w:ind w:firstLine="0" w:firstLineChars="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靖江互感器厂、大连一互、大连二互</w:t>
            </w:r>
          </w:p>
          <w:p w14:paraId="17F47308">
            <w:pPr>
              <w:pStyle w:val="56"/>
              <w:pageBreakBefore w:val="0"/>
              <w:kinsoku/>
              <w:wordWrap/>
              <w:topLinePunct w:val="0"/>
              <w:bidi w:val="0"/>
              <w:spacing w:line="400" w:lineRule="exact"/>
              <w:ind w:firstLine="0" w:firstLineChars="0"/>
              <w:jc w:val="center"/>
              <w:rPr>
                <w:rFonts w:hint="eastAsia" w:ascii="宋体" w:hAnsi="宋体" w:eastAsia="宋体" w:cs="宋体"/>
                <w:color w:val="FF0000"/>
                <w:sz w:val="24"/>
                <w:szCs w:val="24"/>
                <w:highlight w:val="none"/>
              </w:rPr>
            </w:pPr>
          </w:p>
        </w:tc>
        <w:tc>
          <w:tcPr>
            <w:tcW w:w="1505" w:type="dxa"/>
            <w:noWrap w:val="0"/>
            <w:vAlign w:val="center"/>
          </w:tcPr>
          <w:p w14:paraId="4BF691F1">
            <w:pPr>
              <w:pStyle w:val="56"/>
              <w:pageBreakBefore w:val="0"/>
              <w:kinsoku/>
              <w:wordWrap/>
              <w:topLinePunct w:val="0"/>
              <w:bidi w:val="0"/>
              <w:spacing w:line="400" w:lineRule="exact"/>
              <w:ind w:firstLine="0" w:firstLineChars="0"/>
              <w:jc w:val="center"/>
              <w:rPr>
                <w:rFonts w:hint="eastAsia" w:ascii="宋体" w:hAnsi="宋体" w:eastAsia="宋体" w:cs="宋体"/>
                <w:color w:val="FF0000"/>
                <w:sz w:val="24"/>
                <w:szCs w:val="24"/>
                <w:highlight w:val="none"/>
              </w:rPr>
            </w:pPr>
          </w:p>
        </w:tc>
        <w:tc>
          <w:tcPr>
            <w:tcW w:w="1505" w:type="dxa"/>
            <w:noWrap w:val="0"/>
            <w:vAlign w:val="center"/>
          </w:tcPr>
          <w:p w14:paraId="63B47900">
            <w:pPr>
              <w:pStyle w:val="56"/>
              <w:pageBreakBefore w:val="0"/>
              <w:kinsoku/>
              <w:wordWrap/>
              <w:topLinePunct w:val="0"/>
              <w:bidi w:val="0"/>
              <w:spacing w:line="400" w:lineRule="exact"/>
              <w:ind w:firstLine="0" w:firstLineChars="0"/>
              <w:jc w:val="center"/>
              <w:rPr>
                <w:rFonts w:hint="eastAsia" w:ascii="宋体" w:hAnsi="宋体" w:eastAsia="宋体" w:cs="宋体"/>
                <w:color w:val="FF0000"/>
                <w:sz w:val="24"/>
                <w:szCs w:val="24"/>
                <w:highlight w:val="none"/>
              </w:rPr>
            </w:pPr>
          </w:p>
        </w:tc>
      </w:tr>
      <w:tr w14:paraId="177F9C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noWrap w:val="0"/>
            <w:vAlign w:val="center"/>
          </w:tcPr>
          <w:p w14:paraId="7CE80566">
            <w:pPr>
              <w:pStyle w:val="56"/>
              <w:pageBreakBefore w:val="0"/>
              <w:kinsoku/>
              <w:wordWrap/>
              <w:topLinePunct w:val="0"/>
              <w:bidi w:val="0"/>
              <w:spacing w:line="400" w:lineRule="exact"/>
              <w:ind w:firstLine="0" w:firstLineChars="0"/>
              <w:jc w:val="center"/>
              <w:rPr>
                <w:rFonts w:hint="eastAsia" w:ascii="宋体" w:hAnsi="宋体" w:eastAsia="宋体" w:cs="宋体"/>
                <w:sz w:val="24"/>
                <w:szCs w:val="24"/>
                <w:highlight w:val="none"/>
              </w:rPr>
            </w:pPr>
            <w:r>
              <w:rPr>
                <w:rFonts w:hint="eastAsia" w:ascii="宋体" w:hAnsi="宋体" w:eastAsia="宋体" w:cs="宋体"/>
                <w:color w:val="000000"/>
                <w:kern w:val="0"/>
                <w:sz w:val="24"/>
                <w:szCs w:val="24"/>
                <w:highlight w:val="none"/>
              </w:rPr>
              <w:t>机柜</w:t>
            </w:r>
          </w:p>
        </w:tc>
        <w:tc>
          <w:tcPr>
            <w:tcW w:w="2136" w:type="dxa"/>
            <w:noWrap w:val="0"/>
            <w:vAlign w:val="center"/>
          </w:tcPr>
          <w:p w14:paraId="78C1C63B">
            <w:pPr>
              <w:pStyle w:val="56"/>
              <w:pageBreakBefore w:val="0"/>
              <w:kinsoku/>
              <w:wordWrap/>
              <w:topLinePunct w:val="0"/>
              <w:bidi w:val="0"/>
              <w:spacing w:line="400" w:lineRule="exact"/>
              <w:ind w:firstLine="0" w:firstLineChars="0"/>
              <w:jc w:val="center"/>
              <w:rPr>
                <w:rFonts w:hint="eastAsia" w:ascii="宋体" w:hAnsi="宋体" w:eastAsia="宋体" w:cs="宋体"/>
                <w:sz w:val="24"/>
                <w:szCs w:val="24"/>
                <w:highlight w:val="none"/>
              </w:rPr>
            </w:pPr>
            <w:r>
              <w:rPr>
                <w:rFonts w:hint="eastAsia" w:ascii="宋体" w:hAnsi="宋体" w:eastAsia="宋体" w:cs="宋体"/>
                <w:color w:val="000000"/>
                <w:kern w:val="0"/>
                <w:sz w:val="24"/>
                <w:szCs w:val="24"/>
                <w:highlight w:val="none"/>
              </w:rPr>
              <w:t>W800*W1000*H2200 mm</w:t>
            </w:r>
          </w:p>
        </w:tc>
        <w:tc>
          <w:tcPr>
            <w:tcW w:w="543" w:type="dxa"/>
            <w:noWrap w:val="0"/>
            <w:vAlign w:val="center"/>
          </w:tcPr>
          <w:p w14:paraId="7D7635CA">
            <w:pPr>
              <w:pStyle w:val="56"/>
              <w:pageBreakBefore w:val="0"/>
              <w:kinsoku/>
              <w:wordWrap/>
              <w:topLinePunct w:val="0"/>
              <w:bidi w:val="0"/>
              <w:spacing w:line="400" w:lineRule="exact"/>
              <w:ind w:firstLine="0" w:firstLineChars="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面</w:t>
            </w:r>
          </w:p>
        </w:tc>
        <w:tc>
          <w:tcPr>
            <w:tcW w:w="461" w:type="dxa"/>
            <w:noWrap w:val="0"/>
            <w:vAlign w:val="center"/>
          </w:tcPr>
          <w:p w14:paraId="4D45FA26">
            <w:pPr>
              <w:pStyle w:val="56"/>
              <w:pageBreakBefore w:val="0"/>
              <w:kinsoku/>
              <w:wordWrap/>
              <w:topLinePunct w:val="0"/>
              <w:bidi w:val="0"/>
              <w:spacing w:line="400" w:lineRule="exact"/>
              <w:ind w:firstLine="0" w:firstLineChars="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1</w:t>
            </w:r>
          </w:p>
        </w:tc>
        <w:tc>
          <w:tcPr>
            <w:tcW w:w="1533" w:type="dxa"/>
            <w:noWrap w:val="0"/>
            <w:vAlign w:val="center"/>
          </w:tcPr>
          <w:p w14:paraId="037A6B91">
            <w:pPr>
              <w:pStyle w:val="56"/>
              <w:pageBreakBefore w:val="0"/>
              <w:kinsoku/>
              <w:wordWrap/>
              <w:topLinePunct w:val="0"/>
              <w:bidi w:val="0"/>
              <w:spacing w:line="400" w:lineRule="exact"/>
              <w:ind w:firstLine="0" w:firstLineChars="0"/>
              <w:jc w:val="center"/>
              <w:rPr>
                <w:rFonts w:hint="eastAsia" w:ascii="宋体" w:hAnsi="宋体" w:eastAsia="宋体" w:cs="宋体"/>
                <w:color w:val="FF0000"/>
                <w:sz w:val="24"/>
                <w:szCs w:val="24"/>
                <w:highlight w:val="none"/>
              </w:rPr>
            </w:pPr>
          </w:p>
        </w:tc>
        <w:tc>
          <w:tcPr>
            <w:tcW w:w="1505" w:type="dxa"/>
            <w:noWrap w:val="0"/>
            <w:vAlign w:val="center"/>
          </w:tcPr>
          <w:p w14:paraId="5AD89523">
            <w:pPr>
              <w:pStyle w:val="56"/>
              <w:pageBreakBefore w:val="0"/>
              <w:kinsoku/>
              <w:wordWrap/>
              <w:topLinePunct w:val="0"/>
              <w:bidi w:val="0"/>
              <w:spacing w:line="400" w:lineRule="exact"/>
              <w:ind w:firstLine="0" w:firstLineChars="0"/>
              <w:jc w:val="center"/>
              <w:rPr>
                <w:rFonts w:hint="eastAsia" w:ascii="宋体" w:hAnsi="宋体" w:eastAsia="宋体" w:cs="宋体"/>
                <w:color w:val="FF0000"/>
                <w:sz w:val="24"/>
                <w:szCs w:val="24"/>
                <w:highlight w:val="none"/>
              </w:rPr>
            </w:pPr>
          </w:p>
        </w:tc>
        <w:tc>
          <w:tcPr>
            <w:tcW w:w="1505" w:type="dxa"/>
            <w:noWrap w:val="0"/>
            <w:vAlign w:val="center"/>
          </w:tcPr>
          <w:p w14:paraId="150AD624">
            <w:pPr>
              <w:pStyle w:val="56"/>
              <w:pageBreakBefore w:val="0"/>
              <w:kinsoku/>
              <w:wordWrap/>
              <w:topLinePunct w:val="0"/>
              <w:bidi w:val="0"/>
              <w:spacing w:line="400" w:lineRule="exact"/>
              <w:ind w:firstLine="0" w:firstLineChars="0"/>
              <w:jc w:val="center"/>
              <w:rPr>
                <w:rFonts w:hint="eastAsia" w:ascii="宋体" w:hAnsi="宋体" w:eastAsia="宋体" w:cs="宋体"/>
                <w:color w:val="FF0000"/>
                <w:sz w:val="24"/>
                <w:szCs w:val="24"/>
                <w:highlight w:val="none"/>
              </w:rPr>
            </w:pPr>
          </w:p>
        </w:tc>
      </w:tr>
      <w:tr w14:paraId="37E956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noWrap w:val="0"/>
            <w:vAlign w:val="center"/>
          </w:tcPr>
          <w:p w14:paraId="50C6C0E2">
            <w:pPr>
              <w:pStyle w:val="56"/>
              <w:pageBreakBefore w:val="0"/>
              <w:kinsoku/>
              <w:wordWrap/>
              <w:topLinePunct w:val="0"/>
              <w:bidi w:val="0"/>
              <w:spacing w:line="400" w:lineRule="exact"/>
              <w:ind w:firstLine="0" w:firstLineChars="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电力电缆</w:t>
            </w:r>
          </w:p>
        </w:tc>
        <w:tc>
          <w:tcPr>
            <w:tcW w:w="2136" w:type="dxa"/>
            <w:noWrap w:val="0"/>
            <w:vAlign w:val="center"/>
          </w:tcPr>
          <w:p w14:paraId="1F26DA24">
            <w:pPr>
              <w:pStyle w:val="56"/>
              <w:pageBreakBefore w:val="0"/>
              <w:kinsoku/>
              <w:wordWrap/>
              <w:topLinePunct w:val="0"/>
              <w:bidi w:val="0"/>
              <w:spacing w:line="400" w:lineRule="exact"/>
              <w:ind w:firstLine="0" w:firstLineChars="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BVR-150mm²</w:t>
            </w:r>
          </w:p>
        </w:tc>
        <w:tc>
          <w:tcPr>
            <w:tcW w:w="543" w:type="dxa"/>
            <w:noWrap w:val="0"/>
            <w:vAlign w:val="center"/>
          </w:tcPr>
          <w:p w14:paraId="28C9B48F">
            <w:pPr>
              <w:pStyle w:val="56"/>
              <w:pageBreakBefore w:val="0"/>
              <w:kinsoku/>
              <w:wordWrap/>
              <w:topLinePunct w:val="0"/>
              <w:bidi w:val="0"/>
              <w:spacing w:line="400" w:lineRule="exact"/>
              <w:ind w:firstLine="0" w:firstLineChars="0"/>
              <w:jc w:val="center"/>
              <w:rPr>
                <w:rFonts w:hint="eastAsia" w:ascii="宋体" w:hAnsi="宋体" w:eastAsia="宋体" w:cs="宋体"/>
                <w:sz w:val="24"/>
                <w:szCs w:val="24"/>
                <w:highlight w:val="none"/>
              </w:rPr>
            </w:pPr>
            <w:r>
              <w:rPr>
                <w:rFonts w:hint="eastAsia" w:ascii="宋体" w:hAnsi="宋体" w:eastAsia="宋体" w:cs="宋体"/>
                <w:color w:val="000000"/>
                <w:kern w:val="0"/>
                <w:sz w:val="24"/>
                <w:szCs w:val="24"/>
                <w:highlight w:val="none"/>
              </w:rPr>
              <w:t>米</w:t>
            </w:r>
          </w:p>
        </w:tc>
        <w:tc>
          <w:tcPr>
            <w:tcW w:w="461" w:type="dxa"/>
            <w:noWrap w:val="0"/>
            <w:vAlign w:val="center"/>
          </w:tcPr>
          <w:p w14:paraId="2EBC088A">
            <w:pPr>
              <w:pStyle w:val="56"/>
              <w:pageBreakBefore w:val="0"/>
              <w:kinsoku/>
              <w:wordWrap/>
              <w:topLinePunct w:val="0"/>
              <w:bidi w:val="0"/>
              <w:spacing w:line="400" w:lineRule="exact"/>
              <w:ind w:firstLine="0" w:firstLineChars="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36</w:t>
            </w:r>
          </w:p>
        </w:tc>
        <w:tc>
          <w:tcPr>
            <w:tcW w:w="1533" w:type="dxa"/>
            <w:noWrap w:val="0"/>
            <w:vAlign w:val="center"/>
          </w:tcPr>
          <w:p w14:paraId="0FD16CB3">
            <w:pPr>
              <w:pStyle w:val="56"/>
              <w:pageBreakBefore w:val="0"/>
              <w:kinsoku/>
              <w:wordWrap/>
              <w:topLinePunct w:val="0"/>
              <w:bidi w:val="0"/>
              <w:spacing w:line="400" w:lineRule="exact"/>
              <w:ind w:firstLine="0" w:firstLineChars="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无锡远东、江南、起帆</w:t>
            </w:r>
          </w:p>
          <w:p w14:paraId="0D4EC843">
            <w:pPr>
              <w:pStyle w:val="56"/>
              <w:pageBreakBefore w:val="0"/>
              <w:kinsoku/>
              <w:wordWrap/>
              <w:topLinePunct w:val="0"/>
              <w:bidi w:val="0"/>
              <w:spacing w:line="400" w:lineRule="exact"/>
              <w:ind w:firstLine="0" w:firstLineChars="0"/>
              <w:jc w:val="center"/>
              <w:rPr>
                <w:rFonts w:hint="eastAsia" w:ascii="宋体" w:hAnsi="宋体" w:eastAsia="宋体" w:cs="宋体"/>
                <w:color w:val="auto"/>
                <w:sz w:val="24"/>
                <w:szCs w:val="24"/>
                <w:highlight w:val="none"/>
              </w:rPr>
            </w:pPr>
          </w:p>
        </w:tc>
        <w:tc>
          <w:tcPr>
            <w:tcW w:w="1505" w:type="dxa"/>
            <w:noWrap w:val="0"/>
            <w:vAlign w:val="center"/>
          </w:tcPr>
          <w:p w14:paraId="3DDDE9A5">
            <w:pPr>
              <w:pStyle w:val="56"/>
              <w:pageBreakBefore w:val="0"/>
              <w:kinsoku/>
              <w:wordWrap/>
              <w:topLinePunct w:val="0"/>
              <w:bidi w:val="0"/>
              <w:spacing w:line="400" w:lineRule="exact"/>
              <w:ind w:firstLine="0" w:firstLineChars="0"/>
              <w:jc w:val="center"/>
              <w:rPr>
                <w:rFonts w:hint="eastAsia" w:ascii="宋体" w:hAnsi="宋体" w:eastAsia="宋体" w:cs="宋体"/>
                <w:color w:val="auto"/>
                <w:sz w:val="24"/>
                <w:szCs w:val="24"/>
                <w:highlight w:val="none"/>
              </w:rPr>
            </w:pPr>
          </w:p>
        </w:tc>
        <w:tc>
          <w:tcPr>
            <w:tcW w:w="1505" w:type="dxa"/>
            <w:noWrap w:val="0"/>
            <w:vAlign w:val="center"/>
          </w:tcPr>
          <w:p w14:paraId="534EEA67">
            <w:pPr>
              <w:pStyle w:val="56"/>
              <w:pageBreakBefore w:val="0"/>
              <w:kinsoku/>
              <w:wordWrap/>
              <w:topLinePunct w:val="0"/>
              <w:bidi w:val="0"/>
              <w:spacing w:line="400" w:lineRule="exact"/>
              <w:ind w:firstLine="0" w:firstLineChars="0"/>
              <w:jc w:val="center"/>
              <w:rPr>
                <w:rFonts w:hint="eastAsia" w:ascii="宋体" w:hAnsi="宋体" w:eastAsia="宋体" w:cs="宋体"/>
                <w:color w:val="auto"/>
                <w:sz w:val="24"/>
                <w:szCs w:val="24"/>
                <w:highlight w:val="none"/>
              </w:rPr>
            </w:pPr>
          </w:p>
        </w:tc>
      </w:tr>
      <w:tr w14:paraId="61CA34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noWrap w:val="0"/>
            <w:vAlign w:val="center"/>
          </w:tcPr>
          <w:p w14:paraId="360C4BB6">
            <w:pPr>
              <w:pStyle w:val="56"/>
              <w:pageBreakBefore w:val="0"/>
              <w:kinsoku/>
              <w:wordWrap/>
              <w:topLinePunct w:val="0"/>
              <w:bidi w:val="0"/>
              <w:spacing w:line="400" w:lineRule="exact"/>
              <w:ind w:firstLine="0" w:firstLineChars="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控制电缆</w:t>
            </w:r>
          </w:p>
        </w:tc>
        <w:tc>
          <w:tcPr>
            <w:tcW w:w="2136" w:type="dxa"/>
            <w:noWrap w:val="0"/>
            <w:vAlign w:val="center"/>
          </w:tcPr>
          <w:p w14:paraId="510E3BD9">
            <w:pPr>
              <w:pStyle w:val="56"/>
              <w:pageBreakBefore w:val="0"/>
              <w:kinsoku/>
              <w:wordWrap/>
              <w:topLinePunct w:val="0"/>
              <w:bidi w:val="0"/>
              <w:spacing w:line="400" w:lineRule="exact"/>
              <w:ind w:firstLine="0" w:firstLineChars="0"/>
              <w:jc w:val="center"/>
              <w:rPr>
                <w:rFonts w:hint="eastAsia" w:ascii="宋体" w:hAnsi="宋体" w:eastAsia="宋体" w:cs="宋体"/>
                <w:color w:val="000000"/>
                <w:kern w:val="0"/>
                <w:sz w:val="24"/>
                <w:szCs w:val="24"/>
                <w:highlight w:val="none"/>
              </w:rPr>
            </w:pPr>
            <w:r>
              <w:rPr>
                <w:rFonts w:hint="eastAsia" w:ascii="宋体" w:hAnsi="宋体" w:eastAsia="宋体" w:cs="宋体"/>
                <w:kern w:val="0"/>
                <w:sz w:val="24"/>
                <w:szCs w:val="24"/>
                <w:highlight w:val="none"/>
              </w:rPr>
              <w:t>RVVP2*2.5mm²</w:t>
            </w:r>
          </w:p>
        </w:tc>
        <w:tc>
          <w:tcPr>
            <w:tcW w:w="543" w:type="dxa"/>
            <w:noWrap w:val="0"/>
            <w:vAlign w:val="center"/>
          </w:tcPr>
          <w:p w14:paraId="4F178C30">
            <w:pPr>
              <w:pStyle w:val="56"/>
              <w:pageBreakBefore w:val="0"/>
              <w:kinsoku/>
              <w:wordWrap/>
              <w:topLinePunct w:val="0"/>
              <w:bidi w:val="0"/>
              <w:spacing w:line="400" w:lineRule="exact"/>
              <w:ind w:firstLine="0" w:firstLineChars="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米</w:t>
            </w:r>
          </w:p>
        </w:tc>
        <w:tc>
          <w:tcPr>
            <w:tcW w:w="461" w:type="dxa"/>
            <w:noWrap w:val="0"/>
            <w:vAlign w:val="center"/>
          </w:tcPr>
          <w:p w14:paraId="4E9F3E70">
            <w:pPr>
              <w:pStyle w:val="56"/>
              <w:pageBreakBefore w:val="0"/>
              <w:kinsoku/>
              <w:wordWrap/>
              <w:topLinePunct w:val="0"/>
              <w:bidi w:val="0"/>
              <w:spacing w:line="400" w:lineRule="exact"/>
              <w:ind w:firstLine="0" w:firstLineChars="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80</w:t>
            </w:r>
          </w:p>
        </w:tc>
        <w:tc>
          <w:tcPr>
            <w:tcW w:w="1533" w:type="dxa"/>
            <w:noWrap w:val="0"/>
            <w:vAlign w:val="center"/>
          </w:tcPr>
          <w:p w14:paraId="1BBD153B">
            <w:pPr>
              <w:pStyle w:val="56"/>
              <w:pageBreakBefore w:val="0"/>
              <w:kinsoku/>
              <w:wordWrap/>
              <w:topLinePunct w:val="0"/>
              <w:bidi w:val="0"/>
              <w:spacing w:line="400" w:lineRule="exact"/>
              <w:ind w:firstLine="0" w:firstLineChars="0"/>
              <w:jc w:val="center"/>
              <w:rPr>
                <w:rFonts w:hint="eastAsia" w:ascii="宋体" w:hAnsi="宋体" w:eastAsia="宋体" w:cs="宋体"/>
                <w:color w:val="auto"/>
                <w:sz w:val="24"/>
                <w:szCs w:val="24"/>
                <w:highlight w:val="none"/>
              </w:rPr>
            </w:pPr>
          </w:p>
        </w:tc>
        <w:tc>
          <w:tcPr>
            <w:tcW w:w="1505" w:type="dxa"/>
            <w:noWrap w:val="0"/>
            <w:vAlign w:val="center"/>
          </w:tcPr>
          <w:p w14:paraId="52FBA0D0">
            <w:pPr>
              <w:pStyle w:val="56"/>
              <w:pageBreakBefore w:val="0"/>
              <w:kinsoku/>
              <w:wordWrap/>
              <w:topLinePunct w:val="0"/>
              <w:bidi w:val="0"/>
              <w:spacing w:line="400" w:lineRule="exact"/>
              <w:ind w:firstLine="0" w:firstLineChars="0"/>
              <w:jc w:val="center"/>
              <w:rPr>
                <w:rFonts w:hint="eastAsia" w:ascii="宋体" w:hAnsi="宋体" w:eastAsia="宋体" w:cs="宋体"/>
                <w:color w:val="auto"/>
                <w:sz w:val="24"/>
                <w:szCs w:val="24"/>
                <w:highlight w:val="none"/>
              </w:rPr>
            </w:pPr>
          </w:p>
        </w:tc>
        <w:tc>
          <w:tcPr>
            <w:tcW w:w="1505" w:type="dxa"/>
            <w:noWrap w:val="0"/>
            <w:vAlign w:val="center"/>
          </w:tcPr>
          <w:p w14:paraId="44676A58">
            <w:pPr>
              <w:pStyle w:val="56"/>
              <w:pageBreakBefore w:val="0"/>
              <w:kinsoku/>
              <w:wordWrap/>
              <w:topLinePunct w:val="0"/>
              <w:bidi w:val="0"/>
              <w:spacing w:line="400" w:lineRule="exact"/>
              <w:ind w:firstLine="0" w:firstLineChars="0"/>
              <w:jc w:val="center"/>
              <w:rPr>
                <w:rFonts w:hint="eastAsia" w:ascii="宋体" w:hAnsi="宋体" w:eastAsia="宋体" w:cs="宋体"/>
                <w:color w:val="auto"/>
                <w:sz w:val="24"/>
                <w:szCs w:val="24"/>
                <w:highlight w:val="none"/>
              </w:rPr>
            </w:pPr>
          </w:p>
        </w:tc>
      </w:tr>
      <w:tr w14:paraId="496470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noWrap w:val="0"/>
            <w:vAlign w:val="center"/>
          </w:tcPr>
          <w:p w14:paraId="426CA3D9">
            <w:pPr>
              <w:pStyle w:val="56"/>
              <w:pageBreakBefore w:val="0"/>
              <w:kinsoku/>
              <w:wordWrap/>
              <w:topLinePunct w:val="0"/>
              <w:bidi w:val="0"/>
              <w:spacing w:line="400" w:lineRule="exact"/>
              <w:ind w:firstLine="0" w:firstLineChars="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地线</w:t>
            </w:r>
          </w:p>
        </w:tc>
        <w:tc>
          <w:tcPr>
            <w:tcW w:w="2136" w:type="dxa"/>
            <w:noWrap w:val="0"/>
            <w:vAlign w:val="center"/>
          </w:tcPr>
          <w:p w14:paraId="647BD2F8">
            <w:pPr>
              <w:pStyle w:val="56"/>
              <w:pageBreakBefore w:val="0"/>
              <w:kinsoku/>
              <w:wordWrap/>
              <w:topLinePunct w:val="0"/>
              <w:bidi w:val="0"/>
              <w:spacing w:line="400" w:lineRule="exact"/>
              <w:ind w:firstLine="0" w:firstLineChars="0"/>
              <w:jc w:val="center"/>
              <w:rPr>
                <w:rFonts w:hint="eastAsia" w:ascii="宋体" w:hAnsi="宋体" w:eastAsia="宋体" w:cs="宋体"/>
                <w:kern w:val="0"/>
                <w:sz w:val="24"/>
                <w:szCs w:val="24"/>
                <w:highlight w:val="none"/>
              </w:rPr>
            </w:pPr>
            <w:r>
              <w:rPr>
                <w:rFonts w:hint="eastAsia" w:ascii="宋体" w:hAnsi="宋体" w:eastAsia="宋体" w:cs="宋体"/>
                <w:color w:val="000000"/>
                <w:kern w:val="0"/>
                <w:sz w:val="24"/>
                <w:szCs w:val="24"/>
                <w:highlight w:val="none"/>
              </w:rPr>
              <w:t>BVR-16mm²</w:t>
            </w:r>
          </w:p>
        </w:tc>
        <w:tc>
          <w:tcPr>
            <w:tcW w:w="543" w:type="dxa"/>
            <w:noWrap w:val="0"/>
            <w:vAlign w:val="center"/>
          </w:tcPr>
          <w:p w14:paraId="60AE7B33">
            <w:pPr>
              <w:pStyle w:val="56"/>
              <w:pageBreakBefore w:val="0"/>
              <w:kinsoku/>
              <w:wordWrap/>
              <w:topLinePunct w:val="0"/>
              <w:bidi w:val="0"/>
              <w:spacing w:line="400" w:lineRule="exact"/>
              <w:ind w:firstLine="0" w:firstLineChars="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米</w:t>
            </w:r>
          </w:p>
        </w:tc>
        <w:tc>
          <w:tcPr>
            <w:tcW w:w="461" w:type="dxa"/>
            <w:noWrap w:val="0"/>
            <w:vAlign w:val="center"/>
          </w:tcPr>
          <w:p w14:paraId="7B3BA264">
            <w:pPr>
              <w:pStyle w:val="56"/>
              <w:pageBreakBefore w:val="0"/>
              <w:kinsoku/>
              <w:wordWrap/>
              <w:topLinePunct w:val="0"/>
              <w:bidi w:val="0"/>
              <w:spacing w:line="400" w:lineRule="exact"/>
              <w:ind w:firstLine="0" w:firstLineChars="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5</w:t>
            </w:r>
          </w:p>
        </w:tc>
        <w:tc>
          <w:tcPr>
            <w:tcW w:w="1533" w:type="dxa"/>
            <w:noWrap w:val="0"/>
            <w:vAlign w:val="center"/>
          </w:tcPr>
          <w:p w14:paraId="68EED929">
            <w:pPr>
              <w:pStyle w:val="56"/>
              <w:pageBreakBefore w:val="0"/>
              <w:kinsoku/>
              <w:wordWrap/>
              <w:topLinePunct w:val="0"/>
              <w:bidi w:val="0"/>
              <w:spacing w:line="400" w:lineRule="exact"/>
              <w:ind w:firstLine="0" w:firstLineChars="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无锡远东、江南、起帆</w:t>
            </w:r>
          </w:p>
          <w:p w14:paraId="1B19D3CA">
            <w:pPr>
              <w:pStyle w:val="56"/>
              <w:pageBreakBefore w:val="0"/>
              <w:kinsoku/>
              <w:wordWrap/>
              <w:topLinePunct w:val="0"/>
              <w:bidi w:val="0"/>
              <w:spacing w:line="400" w:lineRule="exact"/>
              <w:ind w:firstLine="0" w:firstLineChars="0"/>
              <w:jc w:val="center"/>
              <w:rPr>
                <w:rFonts w:hint="eastAsia" w:ascii="宋体" w:hAnsi="宋体" w:eastAsia="宋体" w:cs="宋体"/>
                <w:color w:val="auto"/>
                <w:sz w:val="24"/>
                <w:szCs w:val="24"/>
                <w:highlight w:val="none"/>
              </w:rPr>
            </w:pPr>
          </w:p>
        </w:tc>
        <w:tc>
          <w:tcPr>
            <w:tcW w:w="1505" w:type="dxa"/>
            <w:noWrap w:val="0"/>
            <w:vAlign w:val="center"/>
          </w:tcPr>
          <w:p w14:paraId="0BE355BF">
            <w:pPr>
              <w:pStyle w:val="56"/>
              <w:pageBreakBefore w:val="0"/>
              <w:kinsoku/>
              <w:wordWrap/>
              <w:topLinePunct w:val="0"/>
              <w:bidi w:val="0"/>
              <w:spacing w:line="400" w:lineRule="exact"/>
              <w:ind w:firstLine="0" w:firstLineChars="0"/>
              <w:jc w:val="center"/>
              <w:rPr>
                <w:rFonts w:hint="eastAsia" w:ascii="宋体" w:hAnsi="宋体" w:eastAsia="宋体" w:cs="宋体"/>
                <w:color w:val="auto"/>
                <w:sz w:val="24"/>
                <w:szCs w:val="24"/>
                <w:highlight w:val="none"/>
              </w:rPr>
            </w:pPr>
          </w:p>
        </w:tc>
        <w:tc>
          <w:tcPr>
            <w:tcW w:w="1505" w:type="dxa"/>
            <w:noWrap w:val="0"/>
            <w:vAlign w:val="center"/>
          </w:tcPr>
          <w:p w14:paraId="0F382EF8">
            <w:pPr>
              <w:pStyle w:val="56"/>
              <w:pageBreakBefore w:val="0"/>
              <w:kinsoku/>
              <w:wordWrap/>
              <w:topLinePunct w:val="0"/>
              <w:bidi w:val="0"/>
              <w:spacing w:line="400" w:lineRule="exact"/>
              <w:ind w:firstLine="0" w:firstLineChars="0"/>
              <w:jc w:val="center"/>
              <w:rPr>
                <w:rFonts w:hint="eastAsia" w:ascii="宋体" w:hAnsi="宋体" w:eastAsia="宋体" w:cs="宋体"/>
                <w:color w:val="auto"/>
                <w:sz w:val="24"/>
                <w:szCs w:val="24"/>
                <w:highlight w:val="none"/>
              </w:rPr>
            </w:pPr>
          </w:p>
        </w:tc>
      </w:tr>
      <w:tr w14:paraId="11DD48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noWrap w:val="0"/>
            <w:vAlign w:val="center"/>
          </w:tcPr>
          <w:p w14:paraId="43BADCCF">
            <w:pPr>
              <w:pStyle w:val="56"/>
              <w:pageBreakBefore w:val="0"/>
              <w:kinsoku/>
              <w:wordWrap/>
              <w:topLinePunct w:val="0"/>
              <w:bidi w:val="0"/>
              <w:spacing w:line="400" w:lineRule="exact"/>
              <w:ind w:firstLine="0" w:firstLineChars="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远程后台监控</w:t>
            </w:r>
          </w:p>
        </w:tc>
        <w:tc>
          <w:tcPr>
            <w:tcW w:w="2136" w:type="dxa"/>
            <w:noWrap w:val="0"/>
            <w:vAlign w:val="center"/>
          </w:tcPr>
          <w:p w14:paraId="4699AA9E">
            <w:pPr>
              <w:pStyle w:val="56"/>
              <w:pageBreakBefore w:val="0"/>
              <w:kinsoku/>
              <w:wordWrap/>
              <w:topLinePunct w:val="0"/>
              <w:bidi w:val="0"/>
              <w:spacing w:line="400" w:lineRule="exact"/>
              <w:ind w:firstLine="0" w:firstLineChars="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无线数据传输</w:t>
            </w:r>
          </w:p>
        </w:tc>
        <w:tc>
          <w:tcPr>
            <w:tcW w:w="543" w:type="dxa"/>
            <w:noWrap w:val="0"/>
            <w:vAlign w:val="center"/>
          </w:tcPr>
          <w:p w14:paraId="0DA6D3BA">
            <w:pPr>
              <w:pStyle w:val="56"/>
              <w:pageBreakBefore w:val="0"/>
              <w:kinsoku/>
              <w:wordWrap/>
              <w:topLinePunct w:val="0"/>
              <w:bidi w:val="0"/>
              <w:spacing w:line="400" w:lineRule="exact"/>
              <w:ind w:firstLine="0" w:firstLineChars="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项</w:t>
            </w:r>
          </w:p>
        </w:tc>
        <w:tc>
          <w:tcPr>
            <w:tcW w:w="461" w:type="dxa"/>
            <w:noWrap w:val="0"/>
            <w:vAlign w:val="center"/>
          </w:tcPr>
          <w:p w14:paraId="36535A21">
            <w:pPr>
              <w:pStyle w:val="56"/>
              <w:pageBreakBefore w:val="0"/>
              <w:kinsoku/>
              <w:wordWrap/>
              <w:topLinePunct w:val="0"/>
              <w:bidi w:val="0"/>
              <w:spacing w:line="400" w:lineRule="exact"/>
              <w:ind w:firstLine="0" w:firstLineChars="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1</w:t>
            </w:r>
          </w:p>
        </w:tc>
        <w:tc>
          <w:tcPr>
            <w:tcW w:w="1533" w:type="dxa"/>
            <w:noWrap w:val="0"/>
            <w:vAlign w:val="center"/>
          </w:tcPr>
          <w:p w14:paraId="1E1503C3">
            <w:pPr>
              <w:pStyle w:val="56"/>
              <w:pageBreakBefore w:val="0"/>
              <w:kinsoku/>
              <w:wordWrap/>
              <w:topLinePunct w:val="0"/>
              <w:bidi w:val="0"/>
              <w:spacing w:line="400" w:lineRule="exact"/>
              <w:ind w:firstLine="0" w:firstLineChars="0"/>
              <w:jc w:val="center"/>
              <w:rPr>
                <w:rFonts w:hint="eastAsia" w:ascii="宋体" w:hAnsi="宋体" w:eastAsia="宋体" w:cs="宋体"/>
                <w:sz w:val="24"/>
                <w:szCs w:val="24"/>
                <w:highlight w:val="none"/>
              </w:rPr>
            </w:pPr>
          </w:p>
        </w:tc>
        <w:tc>
          <w:tcPr>
            <w:tcW w:w="1505" w:type="dxa"/>
            <w:noWrap w:val="0"/>
            <w:vAlign w:val="center"/>
          </w:tcPr>
          <w:p w14:paraId="5DAC4117">
            <w:pPr>
              <w:pStyle w:val="56"/>
              <w:pageBreakBefore w:val="0"/>
              <w:kinsoku/>
              <w:wordWrap/>
              <w:topLinePunct w:val="0"/>
              <w:bidi w:val="0"/>
              <w:spacing w:line="400" w:lineRule="exact"/>
              <w:ind w:firstLine="0" w:firstLineChars="0"/>
              <w:jc w:val="center"/>
              <w:rPr>
                <w:rFonts w:hint="eastAsia" w:ascii="宋体" w:hAnsi="宋体" w:eastAsia="宋体" w:cs="宋体"/>
                <w:sz w:val="24"/>
                <w:szCs w:val="24"/>
                <w:highlight w:val="none"/>
              </w:rPr>
            </w:pPr>
          </w:p>
        </w:tc>
        <w:tc>
          <w:tcPr>
            <w:tcW w:w="1505" w:type="dxa"/>
            <w:noWrap w:val="0"/>
            <w:vAlign w:val="center"/>
          </w:tcPr>
          <w:p w14:paraId="116D7D30">
            <w:pPr>
              <w:pStyle w:val="56"/>
              <w:pageBreakBefore w:val="0"/>
              <w:kinsoku/>
              <w:wordWrap/>
              <w:topLinePunct w:val="0"/>
              <w:bidi w:val="0"/>
              <w:spacing w:line="400" w:lineRule="exact"/>
              <w:ind w:firstLine="0" w:firstLineChars="0"/>
              <w:jc w:val="center"/>
              <w:rPr>
                <w:rFonts w:hint="eastAsia" w:ascii="宋体" w:hAnsi="宋体" w:eastAsia="宋体" w:cs="宋体"/>
                <w:sz w:val="24"/>
                <w:szCs w:val="24"/>
                <w:highlight w:val="none"/>
              </w:rPr>
            </w:pPr>
          </w:p>
        </w:tc>
      </w:tr>
      <w:tr w14:paraId="1A41E7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noWrap w:val="0"/>
            <w:vAlign w:val="center"/>
          </w:tcPr>
          <w:p w14:paraId="75379346">
            <w:pPr>
              <w:pStyle w:val="56"/>
              <w:pageBreakBefore w:val="0"/>
              <w:kinsoku/>
              <w:wordWrap/>
              <w:topLinePunct w:val="0"/>
              <w:bidi w:val="0"/>
              <w:spacing w:line="400" w:lineRule="exact"/>
              <w:ind w:firstLine="0" w:firstLineChars="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PCC点电能质量实测报告</w:t>
            </w:r>
          </w:p>
        </w:tc>
        <w:tc>
          <w:tcPr>
            <w:tcW w:w="2136" w:type="dxa"/>
            <w:noWrap w:val="0"/>
            <w:vAlign w:val="center"/>
          </w:tcPr>
          <w:p w14:paraId="226F3FF8">
            <w:pPr>
              <w:pStyle w:val="56"/>
              <w:pageBreakBefore w:val="0"/>
              <w:kinsoku/>
              <w:wordWrap/>
              <w:topLinePunct w:val="0"/>
              <w:bidi w:val="0"/>
              <w:spacing w:line="400" w:lineRule="exact"/>
              <w:ind w:firstLine="0" w:firstLineChars="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CMA/CNAS资质</w:t>
            </w:r>
          </w:p>
        </w:tc>
        <w:tc>
          <w:tcPr>
            <w:tcW w:w="543" w:type="dxa"/>
            <w:noWrap w:val="0"/>
            <w:vAlign w:val="center"/>
          </w:tcPr>
          <w:p w14:paraId="1F23294F">
            <w:pPr>
              <w:pStyle w:val="56"/>
              <w:pageBreakBefore w:val="0"/>
              <w:kinsoku/>
              <w:wordWrap/>
              <w:topLinePunct w:val="0"/>
              <w:bidi w:val="0"/>
              <w:spacing w:line="400" w:lineRule="exact"/>
              <w:ind w:firstLine="0" w:firstLineChars="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项</w:t>
            </w:r>
          </w:p>
        </w:tc>
        <w:tc>
          <w:tcPr>
            <w:tcW w:w="461" w:type="dxa"/>
            <w:noWrap w:val="0"/>
            <w:vAlign w:val="center"/>
          </w:tcPr>
          <w:p w14:paraId="00781F6F">
            <w:pPr>
              <w:pStyle w:val="56"/>
              <w:pageBreakBefore w:val="0"/>
              <w:kinsoku/>
              <w:wordWrap/>
              <w:topLinePunct w:val="0"/>
              <w:bidi w:val="0"/>
              <w:spacing w:line="400" w:lineRule="exact"/>
              <w:ind w:firstLine="0" w:firstLineChars="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1</w:t>
            </w:r>
          </w:p>
        </w:tc>
        <w:tc>
          <w:tcPr>
            <w:tcW w:w="1533" w:type="dxa"/>
            <w:noWrap w:val="0"/>
            <w:vAlign w:val="center"/>
          </w:tcPr>
          <w:p w14:paraId="67B70346">
            <w:pPr>
              <w:pStyle w:val="56"/>
              <w:pageBreakBefore w:val="0"/>
              <w:kinsoku/>
              <w:wordWrap/>
              <w:topLinePunct w:val="0"/>
              <w:bidi w:val="0"/>
              <w:spacing w:line="400" w:lineRule="exact"/>
              <w:ind w:firstLine="0" w:firstLineChars="0"/>
              <w:jc w:val="center"/>
              <w:rPr>
                <w:rFonts w:hint="eastAsia" w:ascii="宋体" w:hAnsi="宋体" w:eastAsia="宋体" w:cs="宋体"/>
                <w:sz w:val="24"/>
                <w:szCs w:val="24"/>
                <w:highlight w:val="none"/>
              </w:rPr>
            </w:pPr>
          </w:p>
        </w:tc>
        <w:tc>
          <w:tcPr>
            <w:tcW w:w="1505" w:type="dxa"/>
            <w:noWrap w:val="0"/>
            <w:vAlign w:val="center"/>
          </w:tcPr>
          <w:p w14:paraId="71836515">
            <w:pPr>
              <w:pStyle w:val="56"/>
              <w:pageBreakBefore w:val="0"/>
              <w:kinsoku/>
              <w:wordWrap/>
              <w:topLinePunct w:val="0"/>
              <w:bidi w:val="0"/>
              <w:spacing w:line="400" w:lineRule="exact"/>
              <w:ind w:firstLine="0" w:firstLineChars="0"/>
              <w:jc w:val="center"/>
              <w:rPr>
                <w:rFonts w:hint="eastAsia" w:ascii="宋体" w:hAnsi="宋体" w:eastAsia="宋体" w:cs="宋体"/>
                <w:sz w:val="24"/>
                <w:szCs w:val="24"/>
                <w:highlight w:val="none"/>
              </w:rPr>
            </w:pPr>
          </w:p>
        </w:tc>
        <w:tc>
          <w:tcPr>
            <w:tcW w:w="1505" w:type="dxa"/>
            <w:noWrap w:val="0"/>
            <w:vAlign w:val="center"/>
          </w:tcPr>
          <w:p w14:paraId="3FE7E6C2">
            <w:pPr>
              <w:pStyle w:val="56"/>
              <w:pageBreakBefore w:val="0"/>
              <w:kinsoku/>
              <w:wordWrap/>
              <w:topLinePunct w:val="0"/>
              <w:bidi w:val="0"/>
              <w:spacing w:line="400" w:lineRule="exact"/>
              <w:ind w:firstLine="0" w:firstLineChars="0"/>
              <w:jc w:val="center"/>
              <w:rPr>
                <w:rFonts w:hint="eastAsia" w:ascii="宋体" w:hAnsi="宋体" w:eastAsia="宋体" w:cs="宋体"/>
                <w:sz w:val="24"/>
                <w:szCs w:val="24"/>
                <w:highlight w:val="none"/>
              </w:rPr>
            </w:pPr>
          </w:p>
        </w:tc>
      </w:tr>
      <w:tr w14:paraId="4AD8C4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noWrap w:val="0"/>
            <w:vAlign w:val="center"/>
          </w:tcPr>
          <w:p w14:paraId="298CFDF8">
            <w:pPr>
              <w:pStyle w:val="56"/>
              <w:pageBreakBefore w:val="0"/>
              <w:kinsoku/>
              <w:wordWrap/>
              <w:topLinePunct w:val="0"/>
              <w:bidi w:val="0"/>
              <w:spacing w:line="400" w:lineRule="exact"/>
              <w:ind w:firstLine="0" w:firstLineChars="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施工及辅材</w:t>
            </w:r>
          </w:p>
        </w:tc>
        <w:tc>
          <w:tcPr>
            <w:tcW w:w="2136" w:type="dxa"/>
            <w:noWrap w:val="0"/>
            <w:vAlign w:val="center"/>
          </w:tcPr>
          <w:p w14:paraId="5920AA4B">
            <w:pPr>
              <w:pStyle w:val="56"/>
              <w:pageBreakBefore w:val="0"/>
              <w:kinsoku/>
              <w:wordWrap/>
              <w:topLinePunct w:val="0"/>
              <w:bidi w:val="0"/>
              <w:spacing w:line="400" w:lineRule="exact"/>
              <w:ind w:firstLine="0" w:firstLineChars="0"/>
              <w:jc w:val="center"/>
              <w:rPr>
                <w:rFonts w:hint="eastAsia" w:ascii="宋体" w:hAnsi="宋体" w:eastAsia="宋体" w:cs="宋体"/>
                <w:color w:val="000000"/>
                <w:kern w:val="0"/>
                <w:sz w:val="24"/>
                <w:szCs w:val="24"/>
                <w:highlight w:val="none"/>
              </w:rPr>
            </w:pPr>
          </w:p>
        </w:tc>
        <w:tc>
          <w:tcPr>
            <w:tcW w:w="543" w:type="dxa"/>
            <w:noWrap w:val="0"/>
            <w:vAlign w:val="center"/>
          </w:tcPr>
          <w:p w14:paraId="442C778F">
            <w:pPr>
              <w:pStyle w:val="56"/>
              <w:pageBreakBefore w:val="0"/>
              <w:kinsoku/>
              <w:wordWrap/>
              <w:topLinePunct w:val="0"/>
              <w:bidi w:val="0"/>
              <w:spacing w:line="400" w:lineRule="exact"/>
              <w:ind w:firstLine="0" w:firstLineChars="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项</w:t>
            </w:r>
          </w:p>
        </w:tc>
        <w:tc>
          <w:tcPr>
            <w:tcW w:w="461" w:type="dxa"/>
            <w:noWrap w:val="0"/>
            <w:vAlign w:val="center"/>
          </w:tcPr>
          <w:p w14:paraId="6DA4502F">
            <w:pPr>
              <w:pStyle w:val="56"/>
              <w:pageBreakBefore w:val="0"/>
              <w:kinsoku/>
              <w:wordWrap/>
              <w:topLinePunct w:val="0"/>
              <w:bidi w:val="0"/>
              <w:spacing w:line="400" w:lineRule="exact"/>
              <w:ind w:firstLine="0" w:firstLineChars="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1</w:t>
            </w:r>
          </w:p>
        </w:tc>
        <w:tc>
          <w:tcPr>
            <w:tcW w:w="1533" w:type="dxa"/>
            <w:noWrap w:val="0"/>
            <w:vAlign w:val="center"/>
          </w:tcPr>
          <w:p w14:paraId="7ACBF653">
            <w:pPr>
              <w:pStyle w:val="56"/>
              <w:pageBreakBefore w:val="0"/>
              <w:kinsoku/>
              <w:wordWrap/>
              <w:topLinePunct w:val="0"/>
              <w:bidi w:val="0"/>
              <w:spacing w:line="400" w:lineRule="exact"/>
              <w:ind w:firstLine="0" w:firstLineChars="0"/>
              <w:jc w:val="center"/>
              <w:rPr>
                <w:rFonts w:hint="eastAsia" w:ascii="宋体" w:hAnsi="宋体" w:eastAsia="宋体" w:cs="宋体"/>
                <w:sz w:val="24"/>
                <w:szCs w:val="24"/>
                <w:highlight w:val="none"/>
              </w:rPr>
            </w:pPr>
          </w:p>
        </w:tc>
        <w:tc>
          <w:tcPr>
            <w:tcW w:w="1505" w:type="dxa"/>
            <w:noWrap w:val="0"/>
            <w:vAlign w:val="center"/>
          </w:tcPr>
          <w:p w14:paraId="7BEBBE26">
            <w:pPr>
              <w:pStyle w:val="56"/>
              <w:pageBreakBefore w:val="0"/>
              <w:kinsoku/>
              <w:wordWrap/>
              <w:topLinePunct w:val="0"/>
              <w:bidi w:val="0"/>
              <w:spacing w:line="400" w:lineRule="exact"/>
              <w:ind w:firstLine="0" w:firstLineChars="0"/>
              <w:jc w:val="center"/>
              <w:rPr>
                <w:rFonts w:hint="eastAsia" w:ascii="宋体" w:hAnsi="宋体" w:eastAsia="宋体" w:cs="宋体"/>
                <w:sz w:val="24"/>
                <w:szCs w:val="24"/>
                <w:highlight w:val="none"/>
              </w:rPr>
            </w:pPr>
          </w:p>
        </w:tc>
        <w:tc>
          <w:tcPr>
            <w:tcW w:w="1505" w:type="dxa"/>
            <w:noWrap w:val="0"/>
            <w:vAlign w:val="center"/>
          </w:tcPr>
          <w:p w14:paraId="0979BAE9">
            <w:pPr>
              <w:pStyle w:val="56"/>
              <w:pageBreakBefore w:val="0"/>
              <w:kinsoku/>
              <w:wordWrap/>
              <w:topLinePunct w:val="0"/>
              <w:bidi w:val="0"/>
              <w:spacing w:line="400" w:lineRule="exact"/>
              <w:ind w:firstLine="0" w:firstLineChars="0"/>
              <w:jc w:val="center"/>
              <w:rPr>
                <w:rFonts w:hint="eastAsia" w:ascii="宋体" w:hAnsi="宋体" w:eastAsia="宋体" w:cs="宋体"/>
                <w:sz w:val="24"/>
                <w:szCs w:val="24"/>
                <w:highlight w:val="none"/>
              </w:rPr>
            </w:pPr>
          </w:p>
        </w:tc>
      </w:tr>
      <w:tr w14:paraId="360236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noWrap w:val="0"/>
            <w:vAlign w:val="center"/>
          </w:tcPr>
          <w:p w14:paraId="0645EB88">
            <w:pPr>
              <w:pStyle w:val="56"/>
              <w:pageBreakBefore w:val="0"/>
              <w:kinsoku/>
              <w:wordWrap/>
              <w:topLinePunct w:val="0"/>
              <w:bidi w:val="0"/>
              <w:spacing w:line="400" w:lineRule="exact"/>
              <w:ind w:firstLine="0" w:firstLineChars="0"/>
              <w:jc w:val="center"/>
              <w:rPr>
                <w:rFonts w:hint="eastAsia" w:ascii="宋体" w:hAnsi="宋体" w:eastAsia="宋体" w:cs="宋体"/>
                <w:color w:val="000000"/>
                <w:kern w:val="0"/>
                <w:sz w:val="24"/>
                <w:szCs w:val="24"/>
                <w:highlight w:val="none"/>
                <w:lang w:val="en-US" w:eastAsia="zh-CN"/>
              </w:rPr>
            </w:pPr>
            <w:r>
              <w:rPr>
                <w:rFonts w:hint="eastAsia" w:ascii="宋体" w:hAnsi="宋体" w:eastAsia="宋体" w:cs="宋体"/>
                <w:color w:val="000000"/>
                <w:kern w:val="0"/>
                <w:sz w:val="24"/>
                <w:szCs w:val="24"/>
                <w:highlight w:val="none"/>
                <w:lang w:val="en-US" w:eastAsia="zh-CN"/>
              </w:rPr>
              <w:t>总价</w:t>
            </w:r>
          </w:p>
        </w:tc>
        <w:tc>
          <w:tcPr>
            <w:tcW w:w="7683" w:type="dxa"/>
            <w:gridSpan w:val="6"/>
            <w:noWrap w:val="0"/>
            <w:vAlign w:val="center"/>
          </w:tcPr>
          <w:p w14:paraId="4E946524">
            <w:pPr>
              <w:pStyle w:val="56"/>
              <w:pageBreakBefore w:val="0"/>
              <w:tabs>
                <w:tab w:val="left" w:pos="788"/>
              </w:tabs>
              <w:kinsoku/>
              <w:wordWrap/>
              <w:topLinePunct w:val="0"/>
              <w:bidi w:val="0"/>
              <w:spacing w:line="400" w:lineRule="exact"/>
              <w:ind w:firstLine="0" w:firstLineChars="0"/>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人民币（大写）            （小写金额：           ）</w:t>
            </w:r>
          </w:p>
        </w:tc>
      </w:tr>
    </w:tbl>
    <w:p w14:paraId="50B8AE27">
      <w:pPr>
        <w:pageBreakBefore w:val="0"/>
        <w:kinsoku/>
        <w:wordWrap/>
        <w:topLinePunct w:val="0"/>
        <w:bidi w:val="0"/>
        <w:spacing w:line="400" w:lineRule="exact"/>
        <w:ind w:firstLine="431" w:firstLineChars="179"/>
        <w:jc w:val="center"/>
        <w:rPr>
          <w:rFonts w:hint="eastAsia" w:ascii="宋体" w:hAnsi="宋体" w:eastAsia="宋体" w:cs="宋体"/>
          <w:b/>
          <w:bCs/>
          <w:color w:val="0D0D0D" w:themeColor="text1" w:themeTint="F2"/>
          <w:sz w:val="24"/>
          <w:szCs w:val="24"/>
          <w:highlight w:val="none"/>
          <w14:textFill>
            <w14:solidFill>
              <w14:schemeClr w14:val="tx1">
                <w14:lumMod w14:val="95000"/>
                <w14:lumOff w14:val="5000"/>
              </w14:schemeClr>
            </w14:solidFill>
          </w14:textFill>
        </w:rPr>
      </w:pPr>
    </w:p>
    <w:p w14:paraId="740942AD">
      <w:pPr>
        <w:pageBreakBefore w:val="0"/>
        <w:kinsoku/>
        <w:wordWrap/>
        <w:topLinePunct w:val="0"/>
        <w:bidi w:val="0"/>
        <w:spacing w:line="400" w:lineRule="exact"/>
        <w:ind w:firstLine="480" w:firstLineChars="200"/>
        <w:rPr>
          <w:rFonts w:hint="eastAsia" w:ascii="宋体" w:hAnsi="宋体" w:eastAsia="宋体" w:cs="宋体"/>
          <w:color w:val="000000"/>
          <w:sz w:val="24"/>
          <w:szCs w:val="24"/>
          <w:highlight w:val="none"/>
        </w:rPr>
      </w:pPr>
    </w:p>
    <w:p w14:paraId="2F2AF4A0">
      <w:pPr>
        <w:pageBreakBefore w:val="0"/>
        <w:kinsoku/>
        <w:wordWrap/>
        <w:topLinePunct w:val="0"/>
        <w:bidi w:val="0"/>
        <w:spacing w:line="400" w:lineRule="exact"/>
        <w:ind w:firstLine="480" w:firstLineChars="200"/>
        <w:rPr>
          <w:rFonts w:hint="eastAsia" w:ascii="宋体" w:hAnsi="宋体" w:eastAsia="宋体" w:cs="宋体"/>
          <w:color w:val="000000"/>
          <w:sz w:val="24"/>
          <w:szCs w:val="24"/>
          <w:highlight w:val="none"/>
        </w:rPr>
      </w:pPr>
    </w:p>
    <w:p w14:paraId="578AC0EF">
      <w:pPr>
        <w:pageBreakBefore w:val="0"/>
        <w:kinsoku/>
        <w:wordWrap/>
        <w:topLinePunct w:val="0"/>
        <w:bidi w:val="0"/>
        <w:spacing w:line="400" w:lineRule="exact"/>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1</w:t>
      </w:r>
      <w:r>
        <w:rPr>
          <w:rFonts w:hint="eastAsia" w:ascii="宋体" w:hAnsi="宋体" w:eastAsia="宋体" w:cs="宋体"/>
          <w:color w:val="000000"/>
          <w:sz w:val="24"/>
          <w:szCs w:val="24"/>
          <w:highlight w:val="none"/>
          <w:lang w:val="en-US" w:eastAsia="zh-CN"/>
        </w:rPr>
        <w:t>.</w:t>
      </w:r>
      <w:r>
        <w:rPr>
          <w:rFonts w:hint="eastAsia" w:ascii="宋体" w:hAnsi="宋体" w:eastAsia="宋体" w:cs="宋体"/>
          <w:color w:val="000000"/>
          <w:sz w:val="24"/>
          <w:szCs w:val="24"/>
          <w:highlight w:val="none"/>
        </w:rPr>
        <w:t>上述单价包括货物出厂价、辅配件费、运输费、包装费、运输损耗、上车费、指导安装费、劳务费、抽检费、质保期费用、保险、利润、税金及责任等各项应有费用。</w:t>
      </w:r>
    </w:p>
    <w:p w14:paraId="148907B7">
      <w:pPr>
        <w:pageBreakBefore w:val="0"/>
        <w:kinsoku/>
        <w:wordWrap/>
        <w:topLinePunct w:val="0"/>
        <w:bidi w:val="0"/>
        <w:spacing w:line="400" w:lineRule="exact"/>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2</w:t>
      </w:r>
      <w:r>
        <w:rPr>
          <w:rFonts w:hint="eastAsia" w:ascii="宋体" w:hAnsi="宋体" w:eastAsia="宋体" w:cs="宋体"/>
          <w:color w:val="000000"/>
          <w:sz w:val="24"/>
          <w:szCs w:val="24"/>
          <w:highlight w:val="none"/>
          <w:lang w:val="en-US" w:eastAsia="zh-CN"/>
        </w:rPr>
        <w:t>.</w:t>
      </w:r>
      <w:r>
        <w:rPr>
          <w:rFonts w:hint="eastAsia" w:ascii="宋体" w:hAnsi="宋体" w:eastAsia="宋体" w:cs="宋体"/>
          <w:color w:val="000000"/>
          <w:sz w:val="24"/>
          <w:szCs w:val="24"/>
          <w:highlight w:val="none"/>
        </w:rPr>
        <w:t>交货方式为出卖人送货至买受人指定的施工现场，并卸货堆放符合安全标准。</w:t>
      </w:r>
    </w:p>
    <w:p w14:paraId="5DCFA539">
      <w:pPr>
        <w:pageBreakBefore w:val="0"/>
        <w:kinsoku/>
        <w:wordWrap/>
        <w:topLinePunct w:val="0"/>
        <w:bidi w:val="0"/>
        <w:spacing w:line="400" w:lineRule="exact"/>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3</w:t>
      </w:r>
      <w:r>
        <w:rPr>
          <w:rFonts w:hint="eastAsia" w:ascii="宋体" w:hAnsi="宋体" w:eastAsia="宋体" w:cs="宋体"/>
          <w:color w:val="000000"/>
          <w:sz w:val="24"/>
          <w:szCs w:val="24"/>
          <w:highlight w:val="none"/>
          <w:lang w:val="en-US" w:eastAsia="zh-CN"/>
        </w:rPr>
        <w:t>.</w:t>
      </w:r>
      <w:r>
        <w:rPr>
          <w:rFonts w:hint="eastAsia" w:ascii="宋体" w:hAnsi="宋体" w:eastAsia="宋体" w:cs="宋体"/>
          <w:color w:val="000000"/>
          <w:sz w:val="24"/>
          <w:szCs w:val="24"/>
          <w:highlight w:val="none"/>
        </w:rPr>
        <w:t>本项目投标价格所含增值税税率为13%，如国家税收政策有调整，价格根据税率变化做相应调整。</w:t>
      </w:r>
    </w:p>
    <w:p w14:paraId="772273CC">
      <w:pPr>
        <w:pageBreakBefore w:val="0"/>
        <w:kinsoku/>
        <w:wordWrap/>
        <w:topLinePunct w:val="0"/>
        <w:bidi w:val="0"/>
        <w:spacing w:line="400" w:lineRule="exact"/>
        <w:rPr>
          <w:rFonts w:hint="eastAsia" w:ascii="宋体" w:hAnsi="宋体" w:eastAsia="宋体" w:cs="宋体"/>
          <w:sz w:val="24"/>
          <w:szCs w:val="24"/>
          <w:highlight w:val="none"/>
        </w:rPr>
      </w:pPr>
    </w:p>
    <w:p w14:paraId="72C43DC4">
      <w:pPr>
        <w:pageBreakBefore w:val="0"/>
        <w:kinsoku/>
        <w:wordWrap/>
        <w:topLinePunct w:val="0"/>
        <w:bidi w:val="0"/>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投标单位（盖章）：</w:t>
      </w:r>
    </w:p>
    <w:p w14:paraId="440BCEB2">
      <w:pPr>
        <w:pageBreakBefore w:val="0"/>
        <w:kinsoku/>
        <w:wordWrap/>
        <w:topLinePunct w:val="0"/>
        <w:bidi w:val="0"/>
        <w:spacing w:line="400" w:lineRule="exact"/>
        <w:ind w:firstLine="480" w:firstLineChars="200"/>
        <w:rPr>
          <w:rFonts w:hint="eastAsia" w:ascii="宋体" w:hAnsi="宋体" w:eastAsia="宋体" w:cs="宋体"/>
          <w:sz w:val="24"/>
          <w:szCs w:val="24"/>
          <w:highlight w:val="none"/>
        </w:rPr>
      </w:pPr>
    </w:p>
    <w:p w14:paraId="621E0E1B">
      <w:pPr>
        <w:pageBreakBefore w:val="0"/>
        <w:kinsoku/>
        <w:wordWrap/>
        <w:topLinePunct w:val="0"/>
        <w:bidi w:val="0"/>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授权代表（签字或盖章）：</w:t>
      </w:r>
    </w:p>
    <w:p w14:paraId="31172DFE">
      <w:pPr>
        <w:pageBreakBefore w:val="0"/>
        <w:kinsoku/>
        <w:wordWrap/>
        <w:topLinePunct w:val="0"/>
        <w:bidi w:val="0"/>
        <w:spacing w:line="400" w:lineRule="exact"/>
        <w:rPr>
          <w:rFonts w:hint="eastAsia" w:ascii="宋体" w:hAnsi="宋体" w:eastAsia="宋体" w:cs="宋体"/>
          <w:sz w:val="24"/>
          <w:szCs w:val="24"/>
          <w:highlight w:val="none"/>
        </w:rPr>
      </w:pPr>
    </w:p>
    <w:p w14:paraId="53B4D7C6">
      <w:pPr>
        <w:pageBreakBefore w:val="0"/>
        <w:kinsoku/>
        <w:wordWrap/>
        <w:topLinePunct w:val="0"/>
        <w:bidi w:val="0"/>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日期：</w:t>
      </w:r>
    </w:p>
    <w:p w14:paraId="7966879E">
      <w:pPr>
        <w:pStyle w:val="22"/>
        <w:pageBreakBefore w:val="0"/>
        <w:kinsoku/>
        <w:wordWrap/>
        <w:topLinePunct w:val="0"/>
        <w:bidi w:val="0"/>
        <w:spacing w:line="400" w:lineRule="exact"/>
        <w:ind w:firstLine="1687" w:firstLineChars="700"/>
        <w:jc w:val="both"/>
        <w:rPr>
          <w:rFonts w:hint="eastAsia" w:ascii="宋体" w:hAnsi="宋体" w:eastAsia="宋体" w:cs="宋体"/>
          <w:bCs w:val="0"/>
          <w:sz w:val="24"/>
          <w:szCs w:val="24"/>
          <w:highlight w:val="none"/>
        </w:rPr>
        <w:sectPr>
          <w:footerReference r:id="rId5" w:type="default"/>
          <w:pgSz w:w="11906" w:h="16838"/>
          <w:pgMar w:top="1440" w:right="1797" w:bottom="1440" w:left="1797" w:header="851" w:footer="992" w:gutter="0"/>
          <w:pgNumType w:fmt="decimal"/>
          <w:cols w:space="720" w:num="1"/>
          <w:docGrid w:linePitch="312" w:charSpace="0"/>
        </w:sectPr>
      </w:pPr>
    </w:p>
    <w:p w14:paraId="2BFCC342">
      <w:pPr>
        <w:keepNext w:val="0"/>
        <w:keepLines w:val="0"/>
        <w:pageBreakBefore w:val="0"/>
        <w:widowControl w:val="0"/>
        <w:kinsoku/>
        <w:wordWrap/>
        <w:overflowPunct/>
        <w:topLinePunct w:val="0"/>
        <w:autoSpaceDE/>
        <w:autoSpaceDN/>
        <w:bidi w:val="0"/>
        <w:adjustRightInd/>
        <w:snapToGrid/>
        <w:spacing w:after="157" w:afterLines="50" w:line="400" w:lineRule="exact"/>
        <w:jc w:val="center"/>
        <w:textAlignment w:val="auto"/>
        <w:rPr>
          <w:rFonts w:hint="eastAsia" w:ascii="宋体" w:hAnsi="宋体" w:eastAsia="宋体" w:cs="宋体"/>
          <w:b/>
          <w:bCs/>
          <w:color w:val="0D0D0D" w:themeColor="text1" w:themeTint="F2"/>
          <w:sz w:val="32"/>
          <w:szCs w:val="32"/>
          <w:highlight w:val="none"/>
          <w14:textFill>
            <w14:solidFill>
              <w14:schemeClr w14:val="tx1">
                <w14:lumMod w14:val="95000"/>
                <w14:lumOff w14:val="5000"/>
              </w14:schemeClr>
            </w14:solidFill>
          </w14:textFill>
        </w:rPr>
      </w:pPr>
      <w:r>
        <w:rPr>
          <w:rFonts w:hint="eastAsia" w:ascii="宋体" w:hAnsi="宋体" w:eastAsia="宋体" w:cs="宋体"/>
          <w:b/>
          <w:bCs/>
          <w:color w:val="0D0D0D" w:themeColor="text1" w:themeTint="F2"/>
          <w:sz w:val="32"/>
          <w:szCs w:val="32"/>
          <w:highlight w:val="none"/>
          <w14:textFill>
            <w14:solidFill>
              <w14:schemeClr w14:val="tx1">
                <w14:lumMod w14:val="95000"/>
                <w14:lumOff w14:val="5000"/>
              </w14:schemeClr>
            </w14:solidFill>
          </w14:textFill>
        </w:rPr>
        <w:t>五、投标声明函</w:t>
      </w:r>
    </w:p>
    <w:p w14:paraId="5B3228A5">
      <w:pPr>
        <w:pageBreakBefore w:val="0"/>
        <w:widowControl w:val="0"/>
        <w:kinsoku/>
        <w:wordWrap/>
        <w:overflowPunct/>
        <w:topLinePunct w:val="0"/>
        <w:autoSpaceDE/>
        <w:autoSpaceDN/>
        <w:bidi w:val="0"/>
        <w:adjustRightInd/>
        <w:snapToGrid/>
        <w:spacing w:line="360" w:lineRule="exact"/>
        <w:ind w:left="420" w:hanging="420" w:hangingChars="200"/>
        <w:jc w:val="left"/>
        <w:textAlignment w:val="auto"/>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致</w:t>
      </w:r>
      <w:r>
        <w:rPr>
          <w:rFonts w:hint="eastAsia" w:ascii="宋体" w:hAnsi="宋体" w:eastAsia="宋体" w:cs="宋体"/>
          <w:color w:val="0D0D0D" w:themeColor="text1" w:themeTint="F2"/>
          <w:sz w:val="21"/>
          <w:szCs w:val="21"/>
          <w:highlight w:val="none"/>
          <w:u w:val="single"/>
          <w14:textFill>
            <w14:solidFill>
              <w14:schemeClr w14:val="tx1">
                <w14:lumMod w14:val="95000"/>
                <w14:lumOff w14:val="5000"/>
              </w14:schemeClr>
            </w14:solidFill>
          </w14:textFill>
        </w:rPr>
        <w:t>南通市通州区水务有限公司</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w:t>
      </w:r>
    </w:p>
    <w:p w14:paraId="067A8501">
      <w:pPr>
        <w:pageBreakBefore w:val="0"/>
        <w:widowControl w:val="0"/>
        <w:tabs>
          <w:tab w:val="left" w:pos="0"/>
        </w:tabs>
        <w:kinsoku/>
        <w:wordWrap/>
        <w:overflowPunct/>
        <w:topLinePunct w:val="0"/>
        <w:autoSpaceDE/>
        <w:autoSpaceDN/>
        <w:bidi w:val="0"/>
        <w:adjustRightInd/>
        <w:snapToGrid/>
        <w:spacing w:line="360" w:lineRule="exact"/>
        <w:ind w:firstLine="420" w:firstLineChars="200"/>
        <w:jc w:val="left"/>
        <w:textAlignment w:val="auto"/>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1</w:t>
      </w:r>
      <w:r>
        <w:rPr>
          <w:rFonts w:hint="eastAsia" w:ascii="宋体" w:hAnsi="宋体" w:eastAsia="宋体" w:cs="宋体"/>
          <w:color w:val="0D0D0D" w:themeColor="text1" w:themeTint="F2"/>
          <w:sz w:val="21"/>
          <w:szCs w:val="21"/>
          <w:highlight w:val="none"/>
          <w:lang w:val="en-US" w:eastAsia="zh-CN"/>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我方承诺（1）</w:t>
      </w:r>
      <w:r>
        <w:rPr>
          <w:rFonts w:hint="eastAsia" w:ascii="宋体" w:hAnsi="宋体" w:eastAsia="宋体" w:cs="宋体"/>
          <w:color w:val="0D0D0D" w:themeColor="text1" w:themeTint="F2"/>
          <w:kern w:val="0"/>
          <w:sz w:val="21"/>
          <w:szCs w:val="21"/>
          <w:highlight w:val="none"/>
          <w14:textFill>
            <w14:solidFill>
              <w14:schemeClr w14:val="tx1">
                <w14:lumMod w14:val="95000"/>
                <w14:lumOff w14:val="5000"/>
              </w14:schemeClr>
            </w14:solidFill>
          </w14:textFill>
        </w:rPr>
        <w:t>具有独立承担民事责任的能力；（2）具有良好的商业信誉和健全的财务会计制度；（3）具有履行合同所必需的设备及专业技术能力；（4）有依法缴纳税收和社会保障资金的良好记录；（5）参加本次招标活动前三年内，在经营活动中没有重大违法记录；（6）法律、行政法规规定的其他条件，且符合、承认并承诺履行招标文件各项规定的国内法人、其他组织（不包括在港澳台地区注册成立的法人、其它组织）；</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以及本项目招标文件规定的投标人须满足的特定条件。</w:t>
      </w:r>
    </w:p>
    <w:p w14:paraId="66BC2DF4">
      <w:pPr>
        <w:pageBreakBefore w:val="0"/>
        <w:widowControl w:val="0"/>
        <w:tabs>
          <w:tab w:val="left" w:pos="0"/>
        </w:tabs>
        <w:kinsoku/>
        <w:wordWrap/>
        <w:overflowPunct/>
        <w:topLinePunct w:val="0"/>
        <w:autoSpaceDE/>
        <w:autoSpaceDN/>
        <w:bidi w:val="0"/>
        <w:adjustRightInd/>
        <w:snapToGrid/>
        <w:spacing w:line="360" w:lineRule="exact"/>
        <w:ind w:firstLine="420" w:firstLineChars="200"/>
        <w:jc w:val="left"/>
        <w:textAlignment w:val="auto"/>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2</w:t>
      </w:r>
      <w:r>
        <w:rPr>
          <w:rFonts w:hint="eastAsia" w:ascii="宋体" w:hAnsi="宋体" w:eastAsia="宋体" w:cs="宋体"/>
          <w:color w:val="0D0D0D" w:themeColor="text1" w:themeTint="F2"/>
          <w:sz w:val="21"/>
          <w:szCs w:val="21"/>
          <w:highlight w:val="none"/>
          <w:lang w:val="en-US" w:eastAsia="zh-CN"/>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我方承诺参加本次招标活动前三年内，在经营活动中没有重大违法记录，否则，可将我方的投标文件按照无效投标文件处理。</w:t>
      </w:r>
    </w:p>
    <w:p w14:paraId="69AD8278">
      <w:pPr>
        <w:pageBreakBefore w:val="0"/>
        <w:widowControl w:val="0"/>
        <w:tabs>
          <w:tab w:val="left" w:pos="0"/>
        </w:tabs>
        <w:kinsoku/>
        <w:wordWrap/>
        <w:overflowPunct/>
        <w:topLinePunct w:val="0"/>
        <w:autoSpaceDE/>
        <w:autoSpaceDN/>
        <w:bidi w:val="0"/>
        <w:adjustRightInd/>
        <w:snapToGrid/>
        <w:spacing w:line="360" w:lineRule="exact"/>
        <w:ind w:firstLine="420" w:firstLineChars="200"/>
        <w:jc w:val="left"/>
        <w:textAlignment w:val="auto"/>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3</w:t>
      </w:r>
      <w:r>
        <w:rPr>
          <w:rFonts w:hint="eastAsia" w:ascii="宋体" w:hAnsi="宋体" w:eastAsia="宋体" w:cs="宋体"/>
          <w:color w:val="0D0D0D" w:themeColor="text1" w:themeTint="F2"/>
          <w:sz w:val="21"/>
          <w:szCs w:val="21"/>
          <w:highlight w:val="none"/>
          <w:lang w:val="en-US" w:eastAsia="zh-CN"/>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我方承诺完全具有履行合同所必需的设备和专业技术能力。</w:t>
      </w:r>
    </w:p>
    <w:p w14:paraId="6429BAB4">
      <w:pPr>
        <w:pageBreakBefore w:val="0"/>
        <w:widowControl w:val="0"/>
        <w:tabs>
          <w:tab w:val="left" w:pos="0"/>
        </w:tabs>
        <w:kinsoku/>
        <w:wordWrap/>
        <w:overflowPunct/>
        <w:topLinePunct w:val="0"/>
        <w:autoSpaceDE/>
        <w:autoSpaceDN/>
        <w:bidi w:val="0"/>
        <w:adjustRightInd/>
        <w:snapToGrid/>
        <w:spacing w:line="360" w:lineRule="exact"/>
        <w:ind w:firstLine="420" w:firstLineChars="200"/>
        <w:jc w:val="left"/>
        <w:textAlignment w:val="auto"/>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4</w:t>
      </w:r>
      <w:r>
        <w:rPr>
          <w:rFonts w:hint="eastAsia" w:ascii="宋体" w:hAnsi="宋体" w:eastAsia="宋体" w:cs="宋体"/>
          <w:color w:val="0D0D0D" w:themeColor="text1" w:themeTint="F2"/>
          <w:sz w:val="21"/>
          <w:szCs w:val="21"/>
          <w:highlight w:val="none"/>
          <w:lang w:val="en-US" w:eastAsia="zh-CN"/>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我方承诺按照本项目招标文件和相关技术标准的条件，提交评估报告，并承担评估报告的质量。</w:t>
      </w:r>
    </w:p>
    <w:p w14:paraId="72025CB1">
      <w:pPr>
        <w:pageBreakBefore w:val="0"/>
        <w:widowControl w:val="0"/>
        <w:tabs>
          <w:tab w:val="left" w:pos="0"/>
        </w:tabs>
        <w:kinsoku/>
        <w:wordWrap/>
        <w:overflowPunct/>
        <w:topLinePunct w:val="0"/>
        <w:autoSpaceDE/>
        <w:autoSpaceDN/>
        <w:bidi w:val="0"/>
        <w:adjustRightInd/>
        <w:snapToGrid/>
        <w:spacing w:line="360" w:lineRule="exact"/>
        <w:ind w:firstLine="420" w:firstLineChars="200"/>
        <w:jc w:val="left"/>
        <w:textAlignment w:val="auto"/>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5</w:t>
      </w:r>
      <w:r>
        <w:rPr>
          <w:rFonts w:hint="eastAsia" w:ascii="宋体" w:hAnsi="宋体" w:eastAsia="宋体" w:cs="宋体"/>
          <w:color w:val="0D0D0D" w:themeColor="text1" w:themeTint="F2"/>
          <w:sz w:val="21"/>
          <w:szCs w:val="21"/>
          <w:highlight w:val="none"/>
          <w:lang w:val="en-US" w:eastAsia="zh-CN"/>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我方对本项目招标文件（包括修改文件及有关附件）完全理解，并承诺在发生争议时，不会以对招标文件存在误解、不明为由，向你方行使任何法律上的抗辩权。</w:t>
      </w:r>
    </w:p>
    <w:p w14:paraId="4CB81BDE">
      <w:pPr>
        <w:pageBreakBefore w:val="0"/>
        <w:widowControl w:val="0"/>
        <w:tabs>
          <w:tab w:val="left" w:pos="0"/>
        </w:tabs>
        <w:kinsoku/>
        <w:wordWrap/>
        <w:overflowPunct/>
        <w:topLinePunct w:val="0"/>
        <w:autoSpaceDE/>
        <w:autoSpaceDN/>
        <w:bidi w:val="0"/>
        <w:adjustRightInd/>
        <w:snapToGrid/>
        <w:spacing w:line="360" w:lineRule="exact"/>
        <w:ind w:firstLine="420" w:firstLineChars="200"/>
        <w:jc w:val="left"/>
        <w:textAlignment w:val="auto"/>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6</w:t>
      </w:r>
      <w:r>
        <w:rPr>
          <w:rFonts w:hint="eastAsia" w:ascii="宋体" w:hAnsi="宋体" w:eastAsia="宋体" w:cs="宋体"/>
          <w:color w:val="0D0D0D" w:themeColor="text1" w:themeTint="F2"/>
          <w:sz w:val="21"/>
          <w:szCs w:val="21"/>
          <w:highlight w:val="none"/>
          <w:lang w:val="en-US" w:eastAsia="zh-CN"/>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我方投标文件有效期为自开标日起60个日历日，若中标，则投标有效期自动延续至合同履行完毕。</w:t>
      </w:r>
    </w:p>
    <w:p w14:paraId="232FC598">
      <w:pPr>
        <w:pageBreakBefore w:val="0"/>
        <w:widowControl w:val="0"/>
        <w:tabs>
          <w:tab w:val="left" w:pos="0"/>
        </w:tabs>
        <w:kinsoku/>
        <w:wordWrap/>
        <w:overflowPunct/>
        <w:topLinePunct w:val="0"/>
        <w:autoSpaceDE/>
        <w:autoSpaceDN/>
        <w:bidi w:val="0"/>
        <w:adjustRightInd/>
        <w:snapToGrid/>
        <w:spacing w:line="360" w:lineRule="exact"/>
        <w:ind w:firstLine="420" w:firstLineChars="200"/>
        <w:jc w:val="left"/>
        <w:textAlignment w:val="auto"/>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7</w:t>
      </w:r>
      <w:r>
        <w:rPr>
          <w:rFonts w:hint="eastAsia" w:ascii="宋体" w:hAnsi="宋体" w:eastAsia="宋体" w:cs="宋体"/>
          <w:color w:val="0D0D0D" w:themeColor="text1" w:themeTint="F2"/>
          <w:sz w:val="21"/>
          <w:szCs w:val="21"/>
          <w:highlight w:val="none"/>
          <w:lang w:val="en-US" w:eastAsia="zh-CN"/>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我方承诺接受招标文件规定的付款方式。</w:t>
      </w:r>
    </w:p>
    <w:p w14:paraId="14016CB3">
      <w:pPr>
        <w:pageBreakBefore w:val="0"/>
        <w:widowControl w:val="0"/>
        <w:tabs>
          <w:tab w:val="left" w:pos="0"/>
        </w:tabs>
        <w:kinsoku/>
        <w:wordWrap/>
        <w:overflowPunct/>
        <w:topLinePunct w:val="0"/>
        <w:autoSpaceDE/>
        <w:autoSpaceDN/>
        <w:bidi w:val="0"/>
        <w:adjustRightInd/>
        <w:snapToGrid/>
        <w:spacing w:line="360" w:lineRule="exact"/>
        <w:ind w:firstLine="420" w:firstLineChars="200"/>
        <w:jc w:val="left"/>
        <w:textAlignment w:val="auto"/>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8</w:t>
      </w:r>
      <w:r>
        <w:rPr>
          <w:rFonts w:hint="eastAsia" w:ascii="宋体" w:hAnsi="宋体" w:eastAsia="宋体" w:cs="宋体"/>
          <w:color w:val="0D0D0D" w:themeColor="text1" w:themeTint="F2"/>
          <w:sz w:val="21"/>
          <w:szCs w:val="21"/>
          <w:highlight w:val="none"/>
          <w:lang w:val="en-US" w:eastAsia="zh-CN"/>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我方投标文件和你方的中标通知书、招标文件将成为约束双方的合同文件组成部分，若招标文件存在要求，而本投标文件没有拒绝亦没有涉及的情形下，我方接受招标文件的有关约束，并同意将招标文件对投标人的要求作为投标人合同义务的组成部分。</w:t>
      </w:r>
    </w:p>
    <w:p w14:paraId="4B3B137B">
      <w:pPr>
        <w:pageBreakBefore w:val="0"/>
        <w:widowControl w:val="0"/>
        <w:tabs>
          <w:tab w:val="left" w:pos="0"/>
        </w:tabs>
        <w:kinsoku/>
        <w:wordWrap/>
        <w:overflowPunct/>
        <w:topLinePunct w:val="0"/>
        <w:autoSpaceDE/>
        <w:autoSpaceDN/>
        <w:bidi w:val="0"/>
        <w:adjustRightInd/>
        <w:snapToGrid/>
        <w:spacing w:line="360" w:lineRule="exact"/>
        <w:ind w:firstLine="420" w:firstLineChars="200"/>
        <w:jc w:val="left"/>
        <w:textAlignment w:val="auto"/>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9</w:t>
      </w:r>
      <w:r>
        <w:rPr>
          <w:rFonts w:hint="eastAsia" w:ascii="宋体" w:hAnsi="宋体" w:eastAsia="宋体" w:cs="宋体"/>
          <w:color w:val="0D0D0D" w:themeColor="text1" w:themeTint="F2"/>
          <w:sz w:val="21"/>
          <w:szCs w:val="21"/>
          <w:highlight w:val="none"/>
          <w:lang w:val="en-US" w:eastAsia="zh-CN"/>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我方承诺投标文件中所有的资料及所作各项承诺均真实准确，所提交的营业执照/《事业单位法人证书》已依法向登记管理机关报送相应的年度报告并予以公示（或所提交的《社会团体法人登记证书》/《民办非企业单位登记证书》已通过登记管理机关的年度检查），不存在任何虚假之处，否则，可将我方的投标文件按照无效投标文件处理，即使我方中标，中标结果无效，对于因此给其他投标人及你方造成的全部损失，我方同意无条件予以赔偿。</w:t>
      </w:r>
    </w:p>
    <w:p w14:paraId="0698F6E3">
      <w:pPr>
        <w:pageBreakBefore w:val="0"/>
        <w:widowControl w:val="0"/>
        <w:tabs>
          <w:tab w:val="left" w:pos="0"/>
        </w:tabs>
        <w:kinsoku/>
        <w:wordWrap/>
        <w:overflowPunct/>
        <w:topLinePunct w:val="0"/>
        <w:autoSpaceDE/>
        <w:autoSpaceDN/>
        <w:bidi w:val="0"/>
        <w:adjustRightInd/>
        <w:snapToGrid/>
        <w:spacing w:line="360" w:lineRule="exact"/>
        <w:ind w:firstLine="420" w:firstLineChars="200"/>
        <w:jc w:val="left"/>
        <w:textAlignment w:val="auto"/>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10</w:t>
      </w:r>
      <w:r>
        <w:rPr>
          <w:rFonts w:hint="eastAsia" w:ascii="宋体" w:hAnsi="宋体" w:eastAsia="宋体" w:cs="宋体"/>
          <w:color w:val="0D0D0D" w:themeColor="text1" w:themeTint="F2"/>
          <w:sz w:val="21"/>
          <w:szCs w:val="21"/>
          <w:highlight w:val="none"/>
          <w:lang w:val="en-US" w:eastAsia="zh-CN"/>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我方委托授权(姓名:_________，身份证号:_________，联系电话：________)作为我方的代理人参加本项目投标，负责提交投标文件以及其它相关资料，参加开标，接受质询并予以澄清，签署、接受招投标过程中的各种法律文件，办理投标过程中的其他相关事务。</w:t>
      </w:r>
    </w:p>
    <w:p w14:paraId="4BAAD270">
      <w:pPr>
        <w:pageBreakBefore w:val="0"/>
        <w:widowControl w:val="0"/>
        <w:tabs>
          <w:tab w:val="left" w:pos="0"/>
        </w:tabs>
        <w:kinsoku/>
        <w:wordWrap/>
        <w:overflowPunct/>
        <w:topLinePunct w:val="0"/>
        <w:autoSpaceDE/>
        <w:autoSpaceDN/>
        <w:bidi w:val="0"/>
        <w:adjustRightInd/>
        <w:snapToGrid/>
        <w:spacing w:line="360" w:lineRule="exact"/>
        <w:ind w:firstLine="420" w:firstLineChars="200"/>
        <w:jc w:val="left"/>
        <w:textAlignment w:val="auto"/>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11</w:t>
      </w:r>
      <w:r>
        <w:rPr>
          <w:rFonts w:hint="eastAsia" w:ascii="宋体" w:hAnsi="宋体" w:eastAsia="宋体" w:cs="宋体"/>
          <w:color w:val="0D0D0D" w:themeColor="text1" w:themeTint="F2"/>
          <w:sz w:val="21"/>
          <w:szCs w:val="21"/>
          <w:highlight w:val="none"/>
          <w:lang w:val="en-US" w:eastAsia="zh-CN"/>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我方承诺将严格遵守《中华人民共和国招标投标法》及相关法规，若存在违法违规行为，将承担相应的法律后果。</w:t>
      </w:r>
    </w:p>
    <w:p w14:paraId="33C0F0AC">
      <w:pPr>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法定代表人签字或盖章：</w:t>
      </w:r>
    </w:p>
    <w:p w14:paraId="4F366D65">
      <w:pPr>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投标人公章：</w:t>
      </w:r>
    </w:p>
    <w:p w14:paraId="3843128E">
      <w:pPr>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日</w:t>
      </w:r>
      <w:r>
        <w:rPr>
          <w:rFonts w:hint="eastAsia" w:ascii="宋体" w:hAnsi="宋体" w:eastAsia="宋体" w:cs="宋体"/>
          <w:color w:val="0D0D0D" w:themeColor="text1" w:themeTint="F2"/>
          <w:sz w:val="21"/>
          <w:szCs w:val="21"/>
          <w:highlight w:val="none"/>
          <w:lang w:val="en-US" w:eastAsia="zh-CN"/>
          <w14:textFill>
            <w14:solidFill>
              <w14:schemeClr w14:val="tx1">
                <w14:lumMod w14:val="95000"/>
                <w14:lumOff w14:val="5000"/>
              </w14:schemeClr>
            </w14:solidFill>
          </w14:textFill>
        </w:rPr>
        <w:t xml:space="preserve">      </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期：</w:t>
      </w:r>
    </w:p>
    <w:p w14:paraId="47D72E32">
      <w:pPr>
        <w:keepNext w:val="0"/>
        <w:keepLines w:val="0"/>
        <w:pageBreakBefore w:val="0"/>
        <w:widowControl w:val="0"/>
        <w:kinsoku/>
        <w:wordWrap/>
        <w:overflowPunct/>
        <w:topLinePunct w:val="0"/>
        <w:autoSpaceDE/>
        <w:autoSpaceDN/>
        <w:bidi w:val="0"/>
        <w:adjustRightInd/>
        <w:snapToGrid/>
        <w:spacing w:before="157" w:beforeLines="50" w:line="360" w:lineRule="exact"/>
        <w:jc w:val="left"/>
        <w:textAlignment w:val="auto"/>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注：1、出具本函的单位属于非法人组织的，按照法律、行政法规规定能够对外代表其从事民事活动的主要负责人，如个人独资企业的投资人，代表合伙企业执行合伙企业事务的合伙人等，视同法定代表人。</w:t>
      </w:r>
    </w:p>
    <w:p w14:paraId="479D317D">
      <w:pPr>
        <w:pageBreakBefore w:val="0"/>
        <w:widowControl w:val="0"/>
        <w:numPr>
          <w:ilvl w:val="0"/>
          <w:numId w:val="2"/>
        </w:numPr>
        <w:kinsoku/>
        <w:wordWrap/>
        <w:overflowPunct/>
        <w:topLinePunct w:val="0"/>
        <w:autoSpaceDE/>
        <w:autoSpaceDN/>
        <w:bidi w:val="0"/>
        <w:adjustRightInd/>
        <w:snapToGrid/>
        <w:spacing w:line="360" w:lineRule="exact"/>
        <w:jc w:val="left"/>
        <w:textAlignment w:val="auto"/>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若本项目允许联合体投标，且投标人为联合体的，则上文中“我方”包含联合体各方。</w:t>
      </w:r>
    </w:p>
    <w:p w14:paraId="3B0A18F2">
      <w:pPr>
        <w:pStyle w:val="3"/>
        <w:pageBreakBefore w:val="0"/>
        <w:widowControl w:val="0"/>
        <w:kinsoku/>
        <w:wordWrap/>
        <w:overflowPunct/>
        <w:topLinePunct w:val="0"/>
        <w:autoSpaceDE/>
        <w:autoSpaceDN/>
        <w:bidi w:val="0"/>
        <w:adjustRightInd/>
        <w:snapToGrid/>
        <w:spacing w:before="0" w:after="0" w:line="360" w:lineRule="exact"/>
        <w:jc w:val="center"/>
        <w:textAlignment w:val="auto"/>
        <w:rPr>
          <w:rFonts w:hint="eastAsia" w:ascii="宋体" w:hAnsi="宋体" w:eastAsia="宋体" w:cs="宋体"/>
          <w:sz w:val="21"/>
          <w:szCs w:val="21"/>
          <w:highlight w:val="none"/>
        </w:rPr>
        <w:sectPr>
          <w:footerReference r:id="rId6" w:type="default"/>
          <w:pgSz w:w="11906" w:h="16838"/>
          <w:pgMar w:top="1440" w:right="1440" w:bottom="1440" w:left="1440" w:header="851" w:footer="992" w:gutter="0"/>
          <w:pgNumType w:fmt="decimal"/>
          <w:cols w:space="720" w:num="1"/>
          <w:docGrid w:type="lines" w:linePitch="312" w:charSpace="0"/>
        </w:sectPr>
      </w:pPr>
      <w:bookmarkStart w:id="19" w:name="_Toc508219371"/>
      <w:bookmarkStart w:id="20" w:name="_Toc508219336"/>
      <w:bookmarkStart w:id="21" w:name="OLE_LINK3"/>
      <w:bookmarkStart w:id="22" w:name="OLE_LINK4"/>
    </w:p>
    <w:p w14:paraId="7D391750">
      <w:pPr>
        <w:pageBreakBefore w:val="0"/>
        <w:kinsoku/>
        <w:wordWrap/>
        <w:topLinePunct w:val="0"/>
        <w:bidi w:val="0"/>
        <w:spacing w:line="400" w:lineRule="exact"/>
        <w:jc w:val="center"/>
        <w:rPr>
          <w:rFonts w:hint="eastAsia" w:ascii="宋体" w:hAnsi="宋体" w:eastAsia="宋体" w:cs="宋体"/>
          <w:b/>
          <w:bCs/>
          <w:color w:val="0D0D0D" w:themeColor="text1" w:themeTint="F2"/>
          <w:sz w:val="32"/>
          <w:szCs w:val="32"/>
          <w:highlight w:val="none"/>
          <w14:textFill>
            <w14:solidFill>
              <w14:schemeClr w14:val="tx1">
                <w14:lumMod w14:val="95000"/>
                <w14:lumOff w14:val="5000"/>
              </w14:schemeClr>
            </w14:solidFill>
          </w14:textFill>
        </w:rPr>
      </w:pPr>
      <w:r>
        <w:rPr>
          <w:rFonts w:hint="eastAsia" w:ascii="宋体" w:hAnsi="宋体" w:eastAsia="宋体" w:cs="宋体"/>
          <w:b/>
          <w:bCs/>
          <w:color w:val="0D0D0D" w:themeColor="text1" w:themeTint="F2"/>
          <w:sz w:val="32"/>
          <w:szCs w:val="32"/>
          <w:highlight w:val="none"/>
          <w14:textFill>
            <w14:solidFill>
              <w14:schemeClr w14:val="tx1">
                <w14:lumMod w14:val="95000"/>
                <w14:lumOff w14:val="5000"/>
              </w14:schemeClr>
            </w14:solidFill>
          </w14:textFill>
        </w:rPr>
        <w:t xml:space="preserve">第六章 </w:t>
      </w:r>
      <w:bookmarkEnd w:id="19"/>
      <w:bookmarkEnd w:id="20"/>
      <w:r>
        <w:rPr>
          <w:rFonts w:hint="eastAsia" w:ascii="宋体" w:hAnsi="宋体" w:eastAsia="宋体" w:cs="宋体"/>
          <w:b/>
          <w:bCs/>
          <w:color w:val="0D0D0D" w:themeColor="text1" w:themeTint="F2"/>
          <w:sz w:val="32"/>
          <w:szCs w:val="32"/>
          <w:highlight w:val="none"/>
          <w14:textFill>
            <w14:solidFill>
              <w14:schemeClr w14:val="tx1">
                <w14:lumMod w14:val="95000"/>
                <w14:lumOff w14:val="5000"/>
              </w14:schemeClr>
            </w14:solidFill>
          </w14:textFill>
        </w:rPr>
        <w:t xml:space="preserve"> 项目需求</w:t>
      </w:r>
    </w:p>
    <w:bookmarkEnd w:id="21"/>
    <w:bookmarkEnd w:id="22"/>
    <w:p w14:paraId="17F19C4F">
      <w:pPr>
        <w:pageBreakBefore w:val="0"/>
        <w:kinsoku/>
        <w:wordWrap/>
        <w:topLinePunct w:val="0"/>
        <w:bidi w:val="0"/>
        <w:spacing w:line="400" w:lineRule="exact"/>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一、</w:t>
      </w:r>
      <w:r>
        <w:rPr>
          <w:rFonts w:hint="eastAsia" w:ascii="宋体" w:hAnsi="宋体" w:eastAsia="宋体" w:cs="宋体"/>
          <w:b/>
          <w:bCs/>
          <w:sz w:val="24"/>
          <w:szCs w:val="24"/>
          <w:highlight w:val="none"/>
          <w:lang w:val="en-US" w:eastAsia="zh-CN"/>
        </w:rPr>
        <w:t>施工</w:t>
      </w:r>
      <w:r>
        <w:rPr>
          <w:rFonts w:hint="eastAsia" w:ascii="宋体" w:hAnsi="宋体" w:eastAsia="宋体" w:cs="宋体"/>
          <w:b/>
          <w:bCs/>
          <w:sz w:val="24"/>
          <w:szCs w:val="24"/>
          <w:highlight w:val="none"/>
        </w:rPr>
        <w:t>清单明细</w:t>
      </w:r>
    </w:p>
    <w:tbl>
      <w:tblPr>
        <w:tblStyle w:val="26"/>
        <w:tblpPr w:leftFromText="180" w:rightFromText="180" w:vertAnchor="text" w:horzAnchor="margin" w:tblpY="218"/>
        <w:tblW w:w="95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87"/>
        <w:gridCol w:w="2142"/>
        <w:gridCol w:w="866"/>
        <w:gridCol w:w="705"/>
        <w:gridCol w:w="3977"/>
      </w:tblGrid>
      <w:tr w14:paraId="7EEB9E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887" w:type="dxa"/>
            <w:noWrap w:val="0"/>
            <w:vAlign w:val="top"/>
          </w:tcPr>
          <w:p w14:paraId="5A4B5418">
            <w:pPr>
              <w:pStyle w:val="56"/>
              <w:pageBreakBefore w:val="0"/>
              <w:kinsoku/>
              <w:wordWrap/>
              <w:topLinePunct w:val="0"/>
              <w:bidi w:val="0"/>
              <w:spacing w:line="400" w:lineRule="exact"/>
              <w:ind w:firstLine="0" w:firstLineChars="0"/>
              <w:jc w:val="center"/>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主要元件名称</w:t>
            </w:r>
          </w:p>
        </w:tc>
        <w:tc>
          <w:tcPr>
            <w:tcW w:w="2142" w:type="dxa"/>
            <w:noWrap w:val="0"/>
            <w:vAlign w:val="top"/>
          </w:tcPr>
          <w:p w14:paraId="6815DC66">
            <w:pPr>
              <w:pStyle w:val="56"/>
              <w:pageBreakBefore w:val="0"/>
              <w:kinsoku/>
              <w:wordWrap/>
              <w:topLinePunct w:val="0"/>
              <w:bidi w:val="0"/>
              <w:spacing w:line="400" w:lineRule="exact"/>
              <w:ind w:firstLine="0" w:firstLineChars="0"/>
              <w:jc w:val="center"/>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型号/规格</w:t>
            </w:r>
          </w:p>
        </w:tc>
        <w:tc>
          <w:tcPr>
            <w:tcW w:w="866" w:type="dxa"/>
            <w:noWrap w:val="0"/>
            <w:vAlign w:val="top"/>
          </w:tcPr>
          <w:p w14:paraId="55C2D8BF">
            <w:pPr>
              <w:pStyle w:val="56"/>
              <w:pageBreakBefore w:val="0"/>
              <w:kinsoku/>
              <w:wordWrap/>
              <w:topLinePunct w:val="0"/>
              <w:bidi w:val="0"/>
              <w:spacing w:line="400" w:lineRule="exact"/>
              <w:ind w:firstLine="0" w:firstLineChars="0"/>
              <w:jc w:val="center"/>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单位</w:t>
            </w:r>
          </w:p>
        </w:tc>
        <w:tc>
          <w:tcPr>
            <w:tcW w:w="705" w:type="dxa"/>
            <w:noWrap w:val="0"/>
            <w:vAlign w:val="top"/>
          </w:tcPr>
          <w:p w14:paraId="76C3E4DF">
            <w:pPr>
              <w:pStyle w:val="56"/>
              <w:pageBreakBefore w:val="0"/>
              <w:kinsoku/>
              <w:wordWrap/>
              <w:topLinePunct w:val="0"/>
              <w:bidi w:val="0"/>
              <w:spacing w:line="400" w:lineRule="exact"/>
              <w:ind w:firstLine="0" w:firstLineChars="0"/>
              <w:jc w:val="center"/>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数量</w:t>
            </w:r>
          </w:p>
        </w:tc>
        <w:tc>
          <w:tcPr>
            <w:tcW w:w="3977" w:type="dxa"/>
            <w:noWrap w:val="0"/>
            <w:vAlign w:val="top"/>
          </w:tcPr>
          <w:p w14:paraId="1F5FACBC">
            <w:pPr>
              <w:pStyle w:val="56"/>
              <w:pageBreakBefore w:val="0"/>
              <w:kinsoku/>
              <w:wordWrap/>
              <w:topLinePunct w:val="0"/>
              <w:bidi w:val="0"/>
              <w:spacing w:line="400" w:lineRule="exact"/>
              <w:ind w:firstLine="0" w:firstLineChars="0"/>
              <w:jc w:val="center"/>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品牌要求</w:t>
            </w:r>
          </w:p>
        </w:tc>
      </w:tr>
      <w:tr w14:paraId="661648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4" w:hRule="atLeast"/>
        </w:trPr>
        <w:tc>
          <w:tcPr>
            <w:tcW w:w="1887" w:type="dxa"/>
            <w:noWrap w:val="0"/>
            <w:vAlign w:val="center"/>
          </w:tcPr>
          <w:p w14:paraId="118DAAD6">
            <w:pPr>
              <w:pStyle w:val="56"/>
              <w:pageBreakBefore w:val="0"/>
              <w:kinsoku/>
              <w:wordWrap/>
              <w:topLinePunct w:val="0"/>
              <w:bidi w:val="0"/>
              <w:spacing w:line="400" w:lineRule="exact"/>
              <w:ind w:firstLine="0" w:firstLineChars="0"/>
              <w:jc w:val="center"/>
              <w:rPr>
                <w:rFonts w:hint="eastAsia" w:ascii="宋体" w:hAnsi="宋体" w:eastAsia="宋体" w:cs="宋体"/>
                <w:sz w:val="24"/>
                <w:szCs w:val="24"/>
                <w:highlight w:val="none"/>
              </w:rPr>
            </w:pPr>
            <w:r>
              <w:rPr>
                <w:rFonts w:hint="eastAsia" w:ascii="宋体" w:hAnsi="宋体" w:eastAsia="宋体" w:cs="宋体"/>
                <w:color w:val="000000"/>
                <w:kern w:val="0"/>
                <w:sz w:val="24"/>
                <w:szCs w:val="24"/>
                <w:highlight w:val="none"/>
              </w:rPr>
              <w:t>有源滤波器模块</w:t>
            </w:r>
          </w:p>
        </w:tc>
        <w:tc>
          <w:tcPr>
            <w:tcW w:w="2142" w:type="dxa"/>
            <w:noWrap w:val="0"/>
            <w:vAlign w:val="center"/>
          </w:tcPr>
          <w:p w14:paraId="27D80AA8">
            <w:pPr>
              <w:pStyle w:val="56"/>
              <w:pageBreakBefore w:val="0"/>
              <w:kinsoku/>
              <w:wordWrap/>
              <w:topLinePunct w:val="0"/>
              <w:bidi w:val="0"/>
              <w:spacing w:line="400" w:lineRule="exact"/>
              <w:ind w:firstLine="0" w:firstLineChars="0"/>
              <w:jc w:val="center"/>
              <w:rPr>
                <w:rFonts w:hint="eastAsia" w:ascii="宋体" w:hAnsi="宋体" w:eastAsia="宋体" w:cs="宋体"/>
                <w:sz w:val="24"/>
                <w:szCs w:val="24"/>
                <w:highlight w:val="none"/>
              </w:rPr>
            </w:pPr>
            <w:r>
              <w:rPr>
                <w:rFonts w:hint="eastAsia" w:ascii="宋体" w:hAnsi="宋体" w:eastAsia="宋体" w:cs="宋体"/>
                <w:color w:val="000000"/>
                <w:sz w:val="24"/>
                <w:szCs w:val="24"/>
                <w:highlight w:val="none"/>
              </w:rPr>
              <w:t>150A/400V/4L</w:t>
            </w:r>
          </w:p>
        </w:tc>
        <w:tc>
          <w:tcPr>
            <w:tcW w:w="866" w:type="dxa"/>
            <w:noWrap w:val="0"/>
            <w:vAlign w:val="center"/>
          </w:tcPr>
          <w:p w14:paraId="77A7FF75">
            <w:pPr>
              <w:pStyle w:val="56"/>
              <w:pageBreakBefore w:val="0"/>
              <w:kinsoku/>
              <w:wordWrap/>
              <w:topLinePunct w:val="0"/>
              <w:bidi w:val="0"/>
              <w:spacing w:line="400" w:lineRule="exact"/>
              <w:ind w:firstLine="0" w:firstLineChars="0"/>
              <w:jc w:val="center"/>
              <w:rPr>
                <w:rFonts w:hint="eastAsia" w:ascii="宋体" w:hAnsi="宋体" w:eastAsia="宋体" w:cs="宋体"/>
                <w:sz w:val="24"/>
                <w:szCs w:val="24"/>
                <w:highlight w:val="none"/>
              </w:rPr>
            </w:pPr>
            <w:r>
              <w:rPr>
                <w:rFonts w:hint="eastAsia" w:ascii="宋体" w:hAnsi="宋体" w:eastAsia="宋体" w:cs="宋体"/>
                <w:color w:val="000000"/>
                <w:sz w:val="24"/>
                <w:szCs w:val="24"/>
                <w:highlight w:val="none"/>
              </w:rPr>
              <w:t>只</w:t>
            </w:r>
          </w:p>
        </w:tc>
        <w:tc>
          <w:tcPr>
            <w:tcW w:w="705" w:type="dxa"/>
            <w:noWrap w:val="0"/>
            <w:vAlign w:val="center"/>
          </w:tcPr>
          <w:p w14:paraId="074913ED">
            <w:pPr>
              <w:pStyle w:val="56"/>
              <w:pageBreakBefore w:val="0"/>
              <w:kinsoku/>
              <w:wordWrap/>
              <w:topLinePunct w:val="0"/>
              <w:bidi w:val="0"/>
              <w:spacing w:line="400" w:lineRule="exact"/>
              <w:ind w:firstLine="0" w:firstLineChars="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2</w:t>
            </w:r>
          </w:p>
        </w:tc>
        <w:tc>
          <w:tcPr>
            <w:tcW w:w="3977" w:type="dxa"/>
            <w:noWrap w:val="0"/>
            <w:vAlign w:val="center"/>
          </w:tcPr>
          <w:p w14:paraId="0C113DFE">
            <w:pPr>
              <w:pStyle w:val="56"/>
              <w:pageBreakBefore w:val="0"/>
              <w:kinsoku/>
              <w:wordWrap/>
              <w:topLinePunct w:val="0"/>
              <w:bidi w:val="0"/>
              <w:spacing w:line="400" w:lineRule="exact"/>
              <w:ind w:firstLine="0" w:firstLineChars="0"/>
              <w:jc w:val="center"/>
              <w:rPr>
                <w:rFonts w:hint="eastAsia" w:ascii="宋体" w:hAnsi="宋体" w:eastAsia="宋体" w:cs="宋体"/>
                <w:color w:val="FF0000"/>
                <w:sz w:val="24"/>
                <w:szCs w:val="24"/>
                <w:highlight w:val="none"/>
                <w:lang w:val="en-US" w:eastAsia="zh-CN"/>
              </w:rPr>
            </w:pPr>
            <w:r>
              <w:rPr>
                <w:rFonts w:hint="eastAsia" w:ascii="宋体" w:hAnsi="宋体" w:eastAsia="宋体" w:cs="宋体"/>
                <w:color w:val="auto"/>
                <w:sz w:val="24"/>
                <w:szCs w:val="24"/>
                <w:highlight w:val="none"/>
                <w:lang w:val="en-US" w:eastAsia="zh-CN"/>
              </w:rPr>
              <w:t>符合技术第5点、第6点、第七点要求</w:t>
            </w:r>
          </w:p>
        </w:tc>
      </w:tr>
      <w:tr w14:paraId="67F6D9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887" w:type="dxa"/>
            <w:noWrap w:val="0"/>
            <w:vAlign w:val="center"/>
          </w:tcPr>
          <w:p w14:paraId="34E7600A">
            <w:pPr>
              <w:pStyle w:val="56"/>
              <w:pageBreakBefore w:val="0"/>
              <w:kinsoku/>
              <w:wordWrap/>
              <w:topLinePunct w:val="0"/>
              <w:bidi w:val="0"/>
              <w:spacing w:line="400" w:lineRule="exact"/>
              <w:ind w:firstLine="0" w:firstLineChars="0"/>
              <w:jc w:val="center"/>
              <w:rPr>
                <w:rFonts w:hint="eastAsia" w:ascii="宋体" w:hAnsi="宋体" w:eastAsia="宋体" w:cs="宋体"/>
                <w:sz w:val="24"/>
                <w:szCs w:val="24"/>
                <w:highlight w:val="none"/>
              </w:rPr>
            </w:pPr>
            <w:r>
              <w:rPr>
                <w:rFonts w:hint="eastAsia" w:ascii="宋体" w:hAnsi="宋体" w:eastAsia="宋体" w:cs="宋体"/>
                <w:color w:val="000000"/>
                <w:kern w:val="0"/>
                <w:sz w:val="24"/>
                <w:szCs w:val="24"/>
                <w:highlight w:val="none"/>
              </w:rPr>
              <w:t>控制屏</w:t>
            </w:r>
          </w:p>
        </w:tc>
        <w:tc>
          <w:tcPr>
            <w:tcW w:w="2142" w:type="dxa"/>
            <w:noWrap w:val="0"/>
            <w:vAlign w:val="center"/>
          </w:tcPr>
          <w:p w14:paraId="05746F9C">
            <w:pPr>
              <w:pStyle w:val="56"/>
              <w:pageBreakBefore w:val="0"/>
              <w:kinsoku/>
              <w:wordWrap/>
              <w:topLinePunct w:val="0"/>
              <w:bidi w:val="0"/>
              <w:spacing w:line="400" w:lineRule="exact"/>
              <w:ind w:firstLine="0" w:firstLineChars="0"/>
              <w:jc w:val="center"/>
              <w:rPr>
                <w:rFonts w:hint="eastAsia" w:ascii="宋体" w:hAnsi="宋体" w:eastAsia="宋体" w:cs="宋体"/>
                <w:sz w:val="24"/>
                <w:szCs w:val="24"/>
                <w:highlight w:val="none"/>
              </w:rPr>
            </w:pPr>
            <w:r>
              <w:rPr>
                <w:rFonts w:hint="eastAsia" w:ascii="宋体" w:hAnsi="宋体" w:eastAsia="宋体" w:cs="宋体"/>
                <w:color w:val="000000"/>
                <w:kern w:val="0"/>
                <w:sz w:val="24"/>
                <w:szCs w:val="24"/>
                <w:highlight w:val="none"/>
              </w:rPr>
              <w:t>11寸 彩屏</w:t>
            </w:r>
          </w:p>
        </w:tc>
        <w:tc>
          <w:tcPr>
            <w:tcW w:w="866" w:type="dxa"/>
            <w:noWrap w:val="0"/>
            <w:vAlign w:val="center"/>
          </w:tcPr>
          <w:p w14:paraId="346B0F85">
            <w:pPr>
              <w:pStyle w:val="56"/>
              <w:pageBreakBefore w:val="0"/>
              <w:kinsoku/>
              <w:wordWrap/>
              <w:topLinePunct w:val="0"/>
              <w:bidi w:val="0"/>
              <w:spacing w:line="400" w:lineRule="exact"/>
              <w:ind w:firstLine="0" w:firstLineChars="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只</w:t>
            </w:r>
          </w:p>
        </w:tc>
        <w:tc>
          <w:tcPr>
            <w:tcW w:w="705" w:type="dxa"/>
            <w:noWrap w:val="0"/>
            <w:vAlign w:val="center"/>
          </w:tcPr>
          <w:p w14:paraId="18E3186F">
            <w:pPr>
              <w:pStyle w:val="56"/>
              <w:pageBreakBefore w:val="0"/>
              <w:kinsoku/>
              <w:wordWrap/>
              <w:topLinePunct w:val="0"/>
              <w:bidi w:val="0"/>
              <w:spacing w:line="400" w:lineRule="exact"/>
              <w:ind w:firstLine="0" w:firstLineChars="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1</w:t>
            </w:r>
          </w:p>
        </w:tc>
        <w:tc>
          <w:tcPr>
            <w:tcW w:w="3977" w:type="dxa"/>
            <w:noWrap w:val="0"/>
            <w:vAlign w:val="center"/>
          </w:tcPr>
          <w:p w14:paraId="53AE9794">
            <w:pPr>
              <w:pStyle w:val="56"/>
              <w:pageBreakBefore w:val="0"/>
              <w:kinsoku/>
              <w:wordWrap/>
              <w:topLinePunct w:val="0"/>
              <w:bidi w:val="0"/>
              <w:spacing w:line="400" w:lineRule="exact"/>
              <w:ind w:firstLine="0" w:firstLineChars="0"/>
              <w:jc w:val="center"/>
              <w:rPr>
                <w:rFonts w:hint="eastAsia" w:ascii="宋体" w:hAnsi="宋体" w:eastAsia="宋体" w:cs="宋体"/>
                <w:color w:val="FF0000"/>
                <w:sz w:val="24"/>
                <w:szCs w:val="24"/>
                <w:highlight w:val="none"/>
              </w:rPr>
            </w:pPr>
            <w:r>
              <w:rPr>
                <w:rFonts w:hint="eastAsia" w:ascii="宋体" w:hAnsi="宋体" w:eastAsia="宋体" w:cs="宋体"/>
                <w:color w:val="auto"/>
                <w:sz w:val="24"/>
                <w:szCs w:val="24"/>
                <w:highlight w:val="none"/>
              </w:rPr>
              <w:t>昆仑通态、和利时、台达</w:t>
            </w:r>
          </w:p>
        </w:tc>
      </w:tr>
      <w:tr w14:paraId="20E707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8" w:hRule="atLeast"/>
        </w:trPr>
        <w:tc>
          <w:tcPr>
            <w:tcW w:w="1887" w:type="dxa"/>
            <w:noWrap w:val="0"/>
            <w:vAlign w:val="center"/>
          </w:tcPr>
          <w:p w14:paraId="1F97BF02">
            <w:pPr>
              <w:pStyle w:val="56"/>
              <w:pageBreakBefore w:val="0"/>
              <w:kinsoku/>
              <w:wordWrap/>
              <w:topLinePunct w:val="0"/>
              <w:bidi w:val="0"/>
              <w:spacing w:line="400" w:lineRule="exact"/>
              <w:ind w:firstLine="0" w:firstLineChars="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电流互感器</w:t>
            </w:r>
          </w:p>
        </w:tc>
        <w:tc>
          <w:tcPr>
            <w:tcW w:w="2142" w:type="dxa"/>
            <w:noWrap w:val="0"/>
            <w:vAlign w:val="center"/>
          </w:tcPr>
          <w:p w14:paraId="00484558">
            <w:pPr>
              <w:pStyle w:val="56"/>
              <w:pageBreakBefore w:val="0"/>
              <w:kinsoku/>
              <w:wordWrap/>
              <w:topLinePunct w:val="0"/>
              <w:bidi w:val="0"/>
              <w:spacing w:line="400" w:lineRule="exact"/>
              <w:ind w:firstLine="0" w:firstLineChars="0"/>
              <w:jc w:val="center"/>
              <w:rPr>
                <w:rFonts w:hint="eastAsia" w:ascii="宋体" w:hAnsi="宋体" w:eastAsia="宋体" w:cs="宋体"/>
                <w:sz w:val="24"/>
                <w:szCs w:val="24"/>
                <w:highlight w:val="none"/>
              </w:rPr>
            </w:pPr>
            <w:r>
              <w:rPr>
                <w:rFonts w:hint="eastAsia" w:ascii="宋体" w:hAnsi="宋体" w:eastAsia="宋体" w:cs="宋体"/>
                <w:color w:val="000000"/>
                <w:kern w:val="0"/>
                <w:sz w:val="24"/>
                <w:szCs w:val="24"/>
                <w:highlight w:val="none"/>
              </w:rPr>
              <w:t>2000：5/0.5级/开口式</w:t>
            </w:r>
          </w:p>
        </w:tc>
        <w:tc>
          <w:tcPr>
            <w:tcW w:w="866" w:type="dxa"/>
            <w:noWrap w:val="0"/>
            <w:vAlign w:val="center"/>
          </w:tcPr>
          <w:p w14:paraId="11EA5E45">
            <w:pPr>
              <w:pStyle w:val="56"/>
              <w:pageBreakBefore w:val="0"/>
              <w:kinsoku/>
              <w:wordWrap/>
              <w:topLinePunct w:val="0"/>
              <w:bidi w:val="0"/>
              <w:spacing w:line="400" w:lineRule="exact"/>
              <w:ind w:firstLine="0" w:firstLineChars="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只</w:t>
            </w:r>
          </w:p>
        </w:tc>
        <w:tc>
          <w:tcPr>
            <w:tcW w:w="705" w:type="dxa"/>
            <w:noWrap w:val="0"/>
            <w:vAlign w:val="center"/>
          </w:tcPr>
          <w:p w14:paraId="15681F63">
            <w:pPr>
              <w:pStyle w:val="56"/>
              <w:pageBreakBefore w:val="0"/>
              <w:kinsoku/>
              <w:wordWrap/>
              <w:topLinePunct w:val="0"/>
              <w:bidi w:val="0"/>
              <w:spacing w:line="400" w:lineRule="exact"/>
              <w:ind w:firstLine="0" w:firstLineChars="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6</w:t>
            </w:r>
          </w:p>
        </w:tc>
        <w:tc>
          <w:tcPr>
            <w:tcW w:w="3977" w:type="dxa"/>
            <w:noWrap w:val="0"/>
            <w:vAlign w:val="center"/>
          </w:tcPr>
          <w:p w14:paraId="383D6824">
            <w:pPr>
              <w:pStyle w:val="56"/>
              <w:pageBreakBefore w:val="0"/>
              <w:kinsoku/>
              <w:wordWrap/>
              <w:topLinePunct w:val="0"/>
              <w:bidi w:val="0"/>
              <w:spacing w:line="400" w:lineRule="exact"/>
              <w:ind w:firstLine="0" w:firstLineChars="0"/>
              <w:jc w:val="center"/>
              <w:rPr>
                <w:rFonts w:hint="eastAsia" w:ascii="宋体" w:hAnsi="宋体" w:eastAsia="宋体" w:cs="宋体"/>
                <w:color w:val="FF0000"/>
                <w:sz w:val="24"/>
                <w:szCs w:val="24"/>
                <w:highlight w:val="none"/>
              </w:rPr>
            </w:pPr>
          </w:p>
          <w:p w14:paraId="5D6FFE42">
            <w:pPr>
              <w:pStyle w:val="56"/>
              <w:pageBreakBefore w:val="0"/>
              <w:kinsoku/>
              <w:wordWrap/>
              <w:topLinePunct w:val="0"/>
              <w:bidi w:val="0"/>
              <w:spacing w:line="400" w:lineRule="exact"/>
              <w:ind w:firstLine="0" w:firstLineChars="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靖江互感器厂、大连一互、大连二互</w:t>
            </w:r>
          </w:p>
          <w:p w14:paraId="15A1356A">
            <w:pPr>
              <w:pStyle w:val="56"/>
              <w:pageBreakBefore w:val="0"/>
              <w:kinsoku/>
              <w:wordWrap/>
              <w:topLinePunct w:val="0"/>
              <w:bidi w:val="0"/>
              <w:spacing w:line="400" w:lineRule="exact"/>
              <w:ind w:firstLine="0" w:firstLineChars="0"/>
              <w:jc w:val="center"/>
              <w:rPr>
                <w:rFonts w:hint="eastAsia" w:ascii="宋体" w:hAnsi="宋体" w:eastAsia="宋体" w:cs="宋体"/>
                <w:color w:val="FF0000"/>
                <w:sz w:val="24"/>
                <w:szCs w:val="24"/>
                <w:highlight w:val="none"/>
              </w:rPr>
            </w:pPr>
          </w:p>
        </w:tc>
      </w:tr>
      <w:tr w14:paraId="67501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4" w:hRule="atLeast"/>
        </w:trPr>
        <w:tc>
          <w:tcPr>
            <w:tcW w:w="1887" w:type="dxa"/>
            <w:noWrap w:val="0"/>
            <w:vAlign w:val="center"/>
          </w:tcPr>
          <w:p w14:paraId="44F702E7">
            <w:pPr>
              <w:pStyle w:val="56"/>
              <w:pageBreakBefore w:val="0"/>
              <w:kinsoku/>
              <w:wordWrap/>
              <w:topLinePunct w:val="0"/>
              <w:bidi w:val="0"/>
              <w:spacing w:line="400" w:lineRule="exact"/>
              <w:ind w:firstLine="0" w:firstLineChars="0"/>
              <w:jc w:val="center"/>
              <w:rPr>
                <w:rFonts w:hint="eastAsia" w:ascii="宋体" w:hAnsi="宋体" w:eastAsia="宋体" w:cs="宋体"/>
                <w:sz w:val="24"/>
                <w:szCs w:val="24"/>
                <w:highlight w:val="none"/>
              </w:rPr>
            </w:pPr>
            <w:r>
              <w:rPr>
                <w:rFonts w:hint="eastAsia" w:ascii="宋体" w:hAnsi="宋体" w:eastAsia="宋体" w:cs="宋体"/>
                <w:color w:val="000000"/>
                <w:kern w:val="0"/>
                <w:sz w:val="24"/>
                <w:szCs w:val="24"/>
                <w:highlight w:val="none"/>
              </w:rPr>
              <w:t>机柜</w:t>
            </w:r>
          </w:p>
        </w:tc>
        <w:tc>
          <w:tcPr>
            <w:tcW w:w="2142" w:type="dxa"/>
            <w:noWrap w:val="0"/>
            <w:vAlign w:val="center"/>
          </w:tcPr>
          <w:p w14:paraId="6B39CD50">
            <w:pPr>
              <w:pStyle w:val="56"/>
              <w:pageBreakBefore w:val="0"/>
              <w:kinsoku/>
              <w:wordWrap/>
              <w:topLinePunct w:val="0"/>
              <w:bidi w:val="0"/>
              <w:spacing w:line="400" w:lineRule="exact"/>
              <w:ind w:firstLine="0" w:firstLineChars="0"/>
              <w:jc w:val="center"/>
              <w:rPr>
                <w:rFonts w:hint="eastAsia" w:ascii="宋体" w:hAnsi="宋体" w:eastAsia="宋体" w:cs="宋体"/>
                <w:sz w:val="24"/>
                <w:szCs w:val="24"/>
                <w:highlight w:val="none"/>
              </w:rPr>
            </w:pPr>
            <w:r>
              <w:rPr>
                <w:rFonts w:hint="eastAsia" w:ascii="宋体" w:hAnsi="宋体" w:eastAsia="宋体" w:cs="宋体"/>
                <w:color w:val="000000"/>
                <w:kern w:val="0"/>
                <w:sz w:val="24"/>
                <w:szCs w:val="24"/>
                <w:highlight w:val="none"/>
              </w:rPr>
              <w:t>W800*W1000*H2200 mm</w:t>
            </w:r>
          </w:p>
        </w:tc>
        <w:tc>
          <w:tcPr>
            <w:tcW w:w="866" w:type="dxa"/>
            <w:noWrap w:val="0"/>
            <w:vAlign w:val="center"/>
          </w:tcPr>
          <w:p w14:paraId="3117A902">
            <w:pPr>
              <w:pStyle w:val="56"/>
              <w:pageBreakBefore w:val="0"/>
              <w:kinsoku/>
              <w:wordWrap/>
              <w:topLinePunct w:val="0"/>
              <w:bidi w:val="0"/>
              <w:spacing w:line="400" w:lineRule="exact"/>
              <w:ind w:firstLine="0" w:firstLineChars="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面</w:t>
            </w:r>
          </w:p>
        </w:tc>
        <w:tc>
          <w:tcPr>
            <w:tcW w:w="705" w:type="dxa"/>
            <w:noWrap w:val="0"/>
            <w:vAlign w:val="center"/>
          </w:tcPr>
          <w:p w14:paraId="3C63AA0D">
            <w:pPr>
              <w:pStyle w:val="56"/>
              <w:pageBreakBefore w:val="0"/>
              <w:kinsoku/>
              <w:wordWrap/>
              <w:topLinePunct w:val="0"/>
              <w:bidi w:val="0"/>
              <w:spacing w:line="400" w:lineRule="exact"/>
              <w:ind w:firstLine="0" w:firstLineChars="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1</w:t>
            </w:r>
          </w:p>
        </w:tc>
        <w:tc>
          <w:tcPr>
            <w:tcW w:w="3977" w:type="dxa"/>
            <w:noWrap w:val="0"/>
            <w:vAlign w:val="center"/>
          </w:tcPr>
          <w:p w14:paraId="53902A0A">
            <w:pPr>
              <w:pStyle w:val="56"/>
              <w:pageBreakBefore w:val="0"/>
              <w:kinsoku/>
              <w:wordWrap/>
              <w:topLinePunct w:val="0"/>
              <w:bidi w:val="0"/>
              <w:spacing w:line="400" w:lineRule="exact"/>
              <w:ind w:firstLine="0" w:firstLineChars="0"/>
              <w:jc w:val="center"/>
              <w:rPr>
                <w:rFonts w:hint="eastAsia" w:ascii="宋体" w:hAnsi="宋体" w:eastAsia="宋体" w:cs="宋体"/>
                <w:color w:val="FF0000"/>
                <w:sz w:val="24"/>
                <w:szCs w:val="24"/>
                <w:highlight w:val="none"/>
              </w:rPr>
            </w:pPr>
          </w:p>
        </w:tc>
      </w:tr>
      <w:tr w14:paraId="68E480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4" w:hRule="atLeast"/>
        </w:trPr>
        <w:tc>
          <w:tcPr>
            <w:tcW w:w="1887" w:type="dxa"/>
            <w:noWrap w:val="0"/>
            <w:vAlign w:val="center"/>
          </w:tcPr>
          <w:p w14:paraId="772926AA">
            <w:pPr>
              <w:pStyle w:val="56"/>
              <w:pageBreakBefore w:val="0"/>
              <w:kinsoku/>
              <w:wordWrap/>
              <w:topLinePunct w:val="0"/>
              <w:bidi w:val="0"/>
              <w:spacing w:line="400" w:lineRule="exact"/>
              <w:ind w:firstLine="0" w:firstLineChars="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电力电缆</w:t>
            </w:r>
          </w:p>
        </w:tc>
        <w:tc>
          <w:tcPr>
            <w:tcW w:w="2142" w:type="dxa"/>
            <w:noWrap w:val="0"/>
            <w:vAlign w:val="center"/>
          </w:tcPr>
          <w:p w14:paraId="508DEFBF">
            <w:pPr>
              <w:pStyle w:val="56"/>
              <w:pageBreakBefore w:val="0"/>
              <w:kinsoku/>
              <w:wordWrap/>
              <w:topLinePunct w:val="0"/>
              <w:bidi w:val="0"/>
              <w:spacing w:line="400" w:lineRule="exact"/>
              <w:ind w:firstLine="0" w:firstLineChars="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BVR-150mm²</w:t>
            </w:r>
          </w:p>
        </w:tc>
        <w:tc>
          <w:tcPr>
            <w:tcW w:w="866" w:type="dxa"/>
            <w:noWrap w:val="0"/>
            <w:vAlign w:val="center"/>
          </w:tcPr>
          <w:p w14:paraId="34EFFBB7">
            <w:pPr>
              <w:pStyle w:val="56"/>
              <w:pageBreakBefore w:val="0"/>
              <w:kinsoku/>
              <w:wordWrap/>
              <w:topLinePunct w:val="0"/>
              <w:bidi w:val="0"/>
              <w:spacing w:line="400" w:lineRule="exact"/>
              <w:ind w:firstLine="0" w:firstLineChars="0"/>
              <w:jc w:val="center"/>
              <w:rPr>
                <w:rFonts w:hint="eastAsia" w:ascii="宋体" w:hAnsi="宋体" w:eastAsia="宋体" w:cs="宋体"/>
                <w:sz w:val="24"/>
                <w:szCs w:val="24"/>
                <w:highlight w:val="none"/>
              </w:rPr>
            </w:pPr>
            <w:r>
              <w:rPr>
                <w:rFonts w:hint="eastAsia" w:ascii="宋体" w:hAnsi="宋体" w:eastAsia="宋体" w:cs="宋体"/>
                <w:color w:val="000000"/>
                <w:kern w:val="0"/>
                <w:sz w:val="24"/>
                <w:szCs w:val="24"/>
                <w:highlight w:val="none"/>
              </w:rPr>
              <w:t>米</w:t>
            </w:r>
          </w:p>
        </w:tc>
        <w:tc>
          <w:tcPr>
            <w:tcW w:w="705" w:type="dxa"/>
            <w:noWrap w:val="0"/>
            <w:vAlign w:val="center"/>
          </w:tcPr>
          <w:p w14:paraId="53184C13">
            <w:pPr>
              <w:pStyle w:val="56"/>
              <w:pageBreakBefore w:val="0"/>
              <w:kinsoku/>
              <w:wordWrap/>
              <w:topLinePunct w:val="0"/>
              <w:bidi w:val="0"/>
              <w:spacing w:line="400" w:lineRule="exact"/>
              <w:ind w:firstLine="0" w:firstLineChars="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36</w:t>
            </w:r>
          </w:p>
        </w:tc>
        <w:tc>
          <w:tcPr>
            <w:tcW w:w="3977" w:type="dxa"/>
            <w:noWrap w:val="0"/>
            <w:vAlign w:val="center"/>
          </w:tcPr>
          <w:p w14:paraId="3A493B03">
            <w:pPr>
              <w:pStyle w:val="56"/>
              <w:pageBreakBefore w:val="0"/>
              <w:kinsoku/>
              <w:wordWrap/>
              <w:topLinePunct w:val="0"/>
              <w:bidi w:val="0"/>
              <w:spacing w:line="400" w:lineRule="exact"/>
              <w:ind w:firstLine="0" w:firstLineChars="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无锡远东、江南、起帆</w:t>
            </w:r>
          </w:p>
          <w:p w14:paraId="65CE1A6C">
            <w:pPr>
              <w:pStyle w:val="56"/>
              <w:pageBreakBefore w:val="0"/>
              <w:kinsoku/>
              <w:wordWrap/>
              <w:topLinePunct w:val="0"/>
              <w:bidi w:val="0"/>
              <w:spacing w:line="400" w:lineRule="exact"/>
              <w:ind w:firstLine="0" w:firstLineChars="0"/>
              <w:jc w:val="center"/>
              <w:rPr>
                <w:rFonts w:hint="eastAsia" w:ascii="宋体" w:hAnsi="宋体" w:eastAsia="宋体" w:cs="宋体"/>
                <w:color w:val="auto"/>
                <w:sz w:val="24"/>
                <w:szCs w:val="24"/>
                <w:highlight w:val="none"/>
              </w:rPr>
            </w:pPr>
          </w:p>
        </w:tc>
      </w:tr>
      <w:tr w14:paraId="20BE14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887" w:type="dxa"/>
            <w:noWrap w:val="0"/>
            <w:vAlign w:val="center"/>
          </w:tcPr>
          <w:p w14:paraId="07E4FB6B">
            <w:pPr>
              <w:pStyle w:val="56"/>
              <w:pageBreakBefore w:val="0"/>
              <w:kinsoku/>
              <w:wordWrap/>
              <w:topLinePunct w:val="0"/>
              <w:bidi w:val="0"/>
              <w:spacing w:line="400" w:lineRule="exact"/>
              <w:ind w:firstLine="0" w:firstLineChars="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控制电缆</w:t>
            </w:r>
          </w:p>
        </w:tc>
        <w:tc>
          <w:tcPr>
            <w:tcW w:w="2142" w:type="dxa"/>
            <w:noWrap w:val="0"/>
            <w:vAlign w:val="center"/>
          </w:tcPr>
          <w:p w14:paraId="432F165E">
            <w:pPr>
              <w:pStyle w:val="56"/>
              <w:pageBreakBefore w:val="0"/>
              <w:kinsoku/>
              <w:wordWrap/>
              <w:topLinePunct w:val="0"/>
              <w:bidi w:val="0"/>
              <w:spacing w:line="400" w:lineRule="exact"/>
              <w:ind w:firstLine="0" w:firstLineChars="0"/>
              <w:jc w:val="center"/>
              <w:rPr>
                <w:rFonts w:hint="eastAsia" w:ascii="宋体" w:hAnsi="宋体" w:eastAsia="宋体" w:cs="宋体"/>
                <w:color w:val="000000"/>
                <w:kern w:val="0"/>
                <w:sz w:val="24"/>
                <w:szCs w:val="24"/>
                <w:highlight w:val="none"/>
              </w:rPr>
            </w:pPr>
            <w:r>
              <w:rPr>
                <w:rFonts w:hint="eastAsia" w:ascii="宋体" w:hAnsi="宋体" w:eastAsia="宋体" w:cs="宋体"/>
                <w:kern w:val="0"/>
                <w:sz w:val="24"/>
                <w:szCs w:val="24"/>
                <w:highlight w:val="none"/>
              </w:rPr>
              <w:t>RVVP2*2.5mm²</w:t>
            </w:r>
          </w:p>
        </w:tc>
        <w:tc>
          <w:tcPr>
            <w:tcW w:w="866" w:type="dxa"/>
            <w:noWrap w:val="0"/>
            <w:vAlign w:val="center"/>
          </w:tcPr>
          <w:p w14:paraId="75E7059C">
            <w:pPr>
              <w:pStyle w:val="56"/>
              <w:pageBreakBefore w:val="0"/>
              <w:kinsoku/>
              <w:wordWrap/>
              <w:topLinePunct w:val="0"/>
              <w:bidi w:val="0"/>
              <w:spacing w:line="400" w:lineRule="exact"/>
              <w:ind w:firstLine="0" w:firstLineChars="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米</w:t>
            </w:r>
          </w:p>
        </w:tc>
        <w:tc>
          <w:tcPr>
            <w:tcW w:w="705" w:type="dxa"/>
            <w:noWrap w:val="0"/>
            <w:vAlign w:val="center"/>
          </w:tcPr>
          <w:p w14:paraId="27E3539C">
            <w:pPr>
              <w:pStyle w:val="56"/>
              <w:pageBreakBefore w:val="0"/>
              <w:kinsoku/>
              <w:wordWrap/>
              <w:topLinePunct w:val="0"/>
              <w:bidi w:val="0"/>
              <w:spacing w:line="400" w:lineRule="exact"/>
              <w:ind w:firstLine="0" w:firstLineChars="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80</w:t>
            </w:r>
          </w:p>
        </w:tc>
        <w:tc>
          <w:tcPr>
            <w:tcW w:w="3977" w:type="dxa"/>
            <w:noWrap w:val="0"/>
            <w:vAlign w:val="center"/>
          </w:tcPr>
          <w:p w14:paraId="2DF2064A">
            <w:pPr>
              <w:pStyle w:val="56"/>
              <w:pageBreakBefore w:val="0"/>
              <w:kinsoku/>
              <w:wordWrap/>
              <w:topLinePunct w:val="0"/>
              <w:bidi w:val="0"/>
              <w:spacing w:line="400" w:lineRule="exact"/>
              <w:ind w:firstLine="0" w:firstLineChars="0"/>
              <w:jc w:val="center"/>
              <w:rPr>
                <w:rFonts w:hint="eastAsia" w:ascii="宋体" w:hAnsi="宋体" w:eastAsia="宋体" w:cs="宋体"/>
                <w:color w:val="auto"/>
                <w:sz w:val="24"/>
                <w:szCs w:val="24"/>
                <w:highlight w:val="none"/>
              </w:rPr>
            </w:pPr>
          </w:p>
        </w:tc>
      </w:tr>
      <w:tr w14:paraId="2626AA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4" w:hRule="atLeast"/>
        </w:trPr>
        <w:tc>
          <w:tcPr>
            <w:tcW w:w="1887" w:type="dxa"/>
            <w:noWrap w:val="0"/>
            <w:vAlign w:val="center"/>
          </w:tcPr>
          <w:p w14:paraId="388A58FF">
            <w:pPr>
              <w:pStyle w:val="56"/>
              <w:pageBreakBefore w:val="0"/>
              <w:kinsoku/>
              <w:wordWrap/>
              <w:topLinePunct w:val="0"/>
              <w:bidi w:val="0"/>
              <w:spacing w:line="400" w:lineRule="exact"/>
              <w:ind w:firstLine="0" w:firstLineChars="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地线</w:t>
            </w:r>
          </w:p>
        </w:tc>
        <w:tc>
          <w:tcPr>
            <w:tcW w:w="2142" w:type="dxa"/>
            <w:noWrap w:val="0"/>
            <w:vAlign w:val="center"/>
          </w:tcPr>
          <w:p w14:paraId="69750C9A">
            <w:pPr>
              <w:pStyle w:val="56"/>
              <w:pageBreakBefore w:val="0"/>
              <w:kinsoku/>
              <w:wordWrap/>
              <w:topLinePunct w:val="0"/>
              <w:bidi w:val="0"/>
              <w:spacing w:line="400" w:lineRule="exact"/>
              <w:ind w:firstLine="0" w:firstLineChars="0"/>
              <w:jc w:val="center"/>
              <w:rPr>
                <w:rFonts w:hint="eastAsia" w:ascii="宋体" w:hAnsi="宋体" w:eastAsia="宋体" w:cs="宋体"/>
                <w:kern w:val="0"/>
                <w:sz w:val="24"/>
                <w:szCs w:val="24"/>
                <w:highlight w:val="none"/>
              </w:rPr>
            </w:pPr>
            <w:r>
              <w:rPr>
                <w:rFonts w:hint="eastAsia" w:ascii="宋体" w:hAnsi="宋体" w:eastAsia="宋体" w:cs="宋体"/>
                <w:color w:val="000000"/>
                <w:kern w:val="0"/>
                <w:sz w:val="24"/>
                <w:szCs w:val="24"/>
                <w:highlight w:val="none"/>
              </w:rPr>
              <w:t>BVR-16mm²</w:t>
            </w:r>
          </w:p>
        </w:tc>
        <w:tc>
          <w:tcPr>
            <w:tcW w:w="866" w:type="dxa"/>
            <w:noWrap w:val="0"/>
            <w:vAlign w:val="center"/>
          </w:tcPr>
          <w:p w14:paraId="135A9814">
            <w:pPr>
              <w:pStyle w:val="56"/>
              <w:pageBreakBefore w:val="0"/>
              <w:kinsoku/>
              <w:wordWrap/>
              <w:topLinePunct w:val="0"/>
              <w:bidi w:val="0"/>
              <w:spacing w:line="400" w:lineRule="exact"/>
              <w:ind w:firstLine="0" w:firstLineChars="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米</w:t>
            </w:r>
          </w:p>
        </w:tc>
        <w:tc>
          <w:tcPr>
            <w:tcW w:w="705" w:type="dxa"/>
            <w:noWrap w:val="0"/>
            <w:vAlign w:val="center"/>
          </w:tcPr>
          <w:p w14:paraId="7206B26B">
            <w:pPr>
              <w:pStyle w:val="56"/>
              <w:pageBreakBefore w:val="0"/>
              <w:kinsoku/>
              <w:wordWrap/>
              <w:topLinePunct w:val="0"/>
              <w:bidi w:val="0"/>
              <w:spacing w:line="400" w:lineRule="exact"/>
              <w:ind w:firstLine="0" w:firstLineChars="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5</w:t>
            </w:r>
          </w:p>
        </w:tc>
        <w:tc>
          <w:tcPr>
            <w:tcW w:w="3977" w:type="dxa"/>
            <w:noWrap w:val="0"/>
            <w:vAlign w:val="center"/>
          </w:tcPr>
          <w:p w14:paraId="54ACEC65">
            <w:pPr>
              <w:pStyle w:val="56"/>
              <w:pageBreakBefore w:val="0"/>
              <w:kinsoku/>
              <w:wordWrap/>
              <w:topLinePunct w:val="0"/>
              <w:bidi w:val="0"/>
              <w:spacing w:line="400" w:lineRule="exact"/>
              <w:ind w:firstLine="0" w:firstLineChars="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无锡远东、江南、起帆</w:t>
            </w:r>
          </w:p>
          <w:p w14:paraId="0D28B3D4">
            <w:pPr>
              <w:pStyle w:val="56"/>
              <w:pageBreakBefore w:val="0"/>
              <w:kinsoku/>
              <w:wordWrap/>
              <w:topLinePunct w:val="0"/>
              <w:bidi w:val="0"/>
              <w:spacing w:line="400" w:lineRule="exact"/>
              <w:ind w:firstLine="0" w:firstLineChars="0"/>
              <w:jc w:val="center"/>
              <w:rPr>
                <w:rFonts w:hint="eastAsia" w:ascii="宋体" w:hAnsi="宋体" w:eastAsia="宋体" w:cs="宋体"/>
                <w:color w:val="auto"/>
                <w:sz w:val="24"/>
                <w:szCs w:val="24"/>
                <w:highlight w:val="none"/>
              </w:rPr>
            </w:pPr>
          </w:p>
        </w:tc>
      </w:tr>
      <w:tr w14:paraId="782FFA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887" w:type="dxa"/>
            <w:noWrap w:val="0"/>
            <w:vAlign w:val="center"/>
          </w:tcPr>
          <w:p w14:paraId="3A2942F0">
            <w:pPr>
              <w:pStyle w:val="56"/>
              <w:pageBreakBefore w:val="0"/>
              <w:kinsoku/>
              <w:wordWrap/>
              <w:topLinePunct w:val="0"/>
              <w:bidi w:val="0"/>
              <w:spacing w:line="400" w:lineRule="exact"/>
              <w:ind w:firstLine="0" w:firstLineChars="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远程后台监控</w:t>
            </w:r>
          </w:p>
        </w:tc>
        <w:tc>
          <w:tcPr>
            <w:tcW w:w="2142" w:type="dxa"/>
            <w:noWrap w:val="0"/>
            <w:vAlign w:val="center"/>
          </w:tcPr>
          <w:p w14:paraId="1901F758">
            <w:pPr>
              <w:pStyle w:val="56"/>
              <w:pageBreakBefore w:val="0"/>
              <w:kinsoku/>
              <w:wordWrap/>
              <w:topLinePunct w:val="0"/>
              <w:bidi w:val="0"/>
              <w:spacing w:line="400" w:lineRule="exact"/>
              <w:ind w:firstLine="0" w:firstLineChars="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无线数据传输</w:t>
            </w:r>
          </w:p>
        </w:tc>
        <w:tc>
          <w:tcPr>
            <w:tcW w:w="866" w:type="dxa"/>
            <w:noWrap w:val="0"/>
            <w:vAlign w:val="center"/>
          </w:tcPr>
          <w:p w14:paraId="5D5D86DF">
            <w:pPr>
              <w:pStyle w:val="56"/>
              <w:pageBreakBefore w:val="0"/>
              <w:kinsoku/>
              <w:wordWrap/>
              <w:topLinePunct w:val="0"/>
              <w:bidi w:val="0"/>
              <w:spacing w:line="400" w:lineRule="exact"/>
              <w:ind w:firstLine="0" w:firstLineChars="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项</w:t>
            </w:r>
          </w:p>
        </w:tc>
        <w:tc>
          <w:tcPr>
            <w:tcW w:w="705" w:type="dxa"/>
            <w:noWrap w:val="0"/>
            <w:vAlign w:val="center"/>
          </w:tcPr>
          <w:p w14:paraId="348B0AC5">
            <w:pPr>
              <w:pStyle w:val="56"/>
              <w:pageBreakBefore w:val="0"/>
              <w:kinsoku/>
              <w:wordWrap/>
              <w:topLinePunct w:val="0"/>
              <w:bidi w:val="0"/>
              <w:spacing w:line="400" w:lineRule="exact"/>
              <w:ind w:firstLine="0" w:firstLineChars="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1</w:t>
            </w:r>
          </w:p>
        </w:tc>
        <w:tc>
          <w:tcPr>
            <w:tcW w:w="3977" w:type="dxa"/>
            <w:noWrap w:val="0"/>
            <w:vAlign w:val="center"/>
          </w:tcPr>
          <w:p w14:paraId="7497EE27">
            <w:pPr>
              <w:pStyle w:val="56"/>
              <w:pageBreakBefore w:val="0"/>
              <w:kinsoku/>
              <w:wordWrap/>
              <w:topLinePunct w:val="0"/>
              <w:bidi w:val="0"/>
              <w:spacing w:line="400" w:lineRule="exact"/>
              <w:ind w:firstLine="0" w:firstLineChars="0"/>
              <w:jc w:val="center"/>
              <w:rPr>
                <w:rFonts w:hint="eastAsia" w:ascii="宋体" w:hAnsi="宋体" w:eastAsia="宋体" w:cs="宋体"/>
                <w:sz w:val="24"/>
                <w:szCs w:val="24"/>
                <w:highlight w:val="none"/>
              </w:rPr>
            </w:pPr>
          </w:p>
        </w:tc>
      </w:tr>
      <w:tr w14:paraId="601F5D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4" w:hRule="atLeast"/>
        </w:trPr>
        <w:tc>
          <w:tcPr>
            <w:tcW w:w="1887" w:type="dxa"/>
            <w:noWrap w:val="0"/>
            <w:vAlign w:val="center"/>
          </w:tcPr>
          <w:p w14:paraId="7A48D740">
            <w:pPr>
              <w:pStyle w:val="56"/>
              <w:pageBreakBefore w:val="0"/>
              <w:kinsoku/>
              <w:wordWrap/>
              <w:topLinePunct w:val="0"/>
              <w:bidi w:val="0"/>
              <w:spacing w:line="400" w:lineRule="exact"/>
              <w:ind w:firstLine="0" w:firstLineChars="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PCC点电能质量实测报告</w:t>
            </w:r>
          </w:p>
        </w:tc>
        <w:tc>
          <w:tcPr>
            <w:tcW w:w="2142" w:type="dxa"/>
            <w:noWrap w:val="0"/>
            <w:vAlign w:val="center"/>
          </w:tcPr>
          <w:p w14:paraId="47C34153">
            <w:pPr>
              <w:pStyle w:val="56"/>
              <w:pageBreakBefore w:val="0"/>
              <w:kinsoku/>
              <w:wordWrap/>
              <w:topLinePunct w:val="0"/>
              <w:bidi w:val="0"/>
              <w:spacing w:line="400" w:lineRule="exact"/>
              <w:ind w:firstLine="0" w:firstLineChars="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CMA/CNAS资质</w:t>
            </w:r>
          </w:p>
        </w:tc>
        <w:tc>
          <w:tcPr>
            <w:tcW w:w="866" w:type="dxa"/>
            <w:noWrap w:val="0"/>
            <w:vAlign w:val="center"/>
          </w:tcPr>
          <w:p w14:paraId="1327B67B">
            <w:pPr>
              <w:pStyle w:val="56"/>
              <w:pageBreakBefore w:val="0"/>
              <w:kinsoku/>
              <w:wordWrap/>
              <w:topLinePunct w:val="0"/>
              <w:bidi w:val="0"/>
              <w:spacing w:line="400" w:lineRule="exact"/>
              <w:ind w:firstLine="0" w:firstLineChars="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项</w:t>
            </w:r>
          </w:p>
        </w:tc>
        <w:tc>
          <w:tcPr>
            <w:tcW w:w="705" w:type="dxa"/>
            <w:noWrap w:val="0"/>
            <w:vAlign w:val="center"/>
          </w:tcPr>
          <w:p w14:paraId="085A8870">
            <w:pPr>
              <w:pStyle w:val="56"/>
              <w:pageBreakBefore w:val="0"/>
              <w:kinsoku/>
              <w:wordWrap/>
              <w:topLinePunct w:val="0"/>
              <w:bidi w:val="0"/>
              <w:spacing w:line="400" w:lineRule="exact"/>
              <w:ind w:firstLine="0" w:firstLineChars="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1</w:t>
            </w:r>
          </w:p>
        </w:tc>
        <w:tc>
          <w:tcPr>
            <w:tcW w:w="3977" w:type="dxa"/>
            <w:noWrap w:val="0"/>
            <w:vAlign w:val="center"/>
          </w:tcPr>
          <w:p w14:paraId="71C6C054">
            <w:pPr>
              <w:pStyle w:val="56"/>
              <w:pageBreakBefore w:val="0"/>
              <w:kinsoku/>
              <w:wordWrap/>
              <w:topLinePunct w:val="0"/>
              <w:bidi w:val="0"/>
              <w:spacing w:line="400" w:lineRule="exact"/>
              <w:ind w:firstLine="0" w:firstLineChars="0"/>
              <w:jc w:val="center"/>
              <w:rPr>
                <w:rFonts w:hint="eastAsia" w:ascii="宋体" w:hAnsi="宋体" w:eastAsia="宋体" w:cs="宋体"/>
                <w:sz w:val="24"/>
                <w:szCs w:val="24"/>
                <w:highlight w:val="none"/>
              </w:rPr>
            </w:pPr>
          </w:p>
        </w:tc>
      </w:tr>
      <w:tr w14:paraId="05675F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trPr>
        <w:tc>
          <w:tcPr>
            <w:tcW w:w="1887" w:type="dxa"/>
            <w:noWrap w:val="0"/>
            <w:vAlign w:val="center"/>
          </w:tcPr>
          <w:p w14:paraId="7C3130DA">
            <w:pPr>
              <w:pStyle w:val="56"/>
              <w:pageBreakBefore w:val="0"/>
              <w:kinsoku/>
              <w:wordWrap/>
              <w:topLinePunct w:val="0"/>
              <w:bidi w:val="0"/>
              <w:spacing w:line="400" w:lineRule="exact"/>
              <w:ind w:firstLine="0" w:firstLineChars="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施工及辅材</w:t>
            </w:r>
          </w:p>
        </w:tc>
        <w:tc>
          <w:tcPr>
            <w:tcW w:w="2142" w:type="dxa"/>
            <w:noWrap w:val="0"/>
            <w:vAlign w:val="center"/>
          </w:tcPr>
          <w:p w14:paraId="4123682A">
            <w:pPr>
              <w:pStyle w:val="56"/>
              <w:pageBreakBefore w:val="0"/>
              <w:kinsoku/>
              <w:wordWrap/>
              <w:topLinePunct w:val="0"/>
              <w:bidi w:val="0"/>
              <w:spacing w:line="400" w:lineRule="exact"/>
              <w:ind w:firstLine="0" w:firstLineChars="0"/>
              <w:jc w:val="center"/>
              <w:rPr>
                <w:rFonts w:hint="eastAsia" w:ascii="宋体" w:hAnsi="宋体" w:eastAsia="宋体" w:cs="宋体"/>
                <w:color w:val="000000"/>
                <w:kern w:val="0"/>
                <w:sz w:val="24"/>
                <w:szCs w:val="24"/>
                <w:highlight w:val="none"/>
              </w:rPr>
            </w:pPr>
          </w:p>
        </w:tc>
        <w:tc>
          <w:tcPr>
            <w:tcW w:w="866" w:type="dxa"/>
            <w:noWrap w:val="0"/>
            <w:vAlign w:val="center"/>
          </w:tcPr>
          <w:p w14:paraId="2D3C2EA1">
            <w:pPr>
              <w:pStyle w:val="56"/>
              <w:pageBreakBefore w:val="0"/>
              <w:kinsoku/>
              <w:wordWrap/>
              <w:topLinePunct w:val="0"/>
              <w:bidi w:val="0"/>
              <w:spacing w:line="400" w:lineRule="exact"/>
              <w:ind w:firstLine="0" w:firstLineChars="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项</w:t>
            </w:r>
          </w:p>
        </w:tc>
        <w:tc>
          <w:tcPr>
            <w:tcW w:w="705" w:type="dxa"/>
            <w:noWrap w:val="0"/>
            <w:vAlign w:val="center"/>
          </w:tcPr>
          <w:p w14:paraId="4F352871">
            <w:pPr>
              <w:pStyle w:val="56"/>
              <w:pageBreakBefore w:val="0"/>
              <w:kinsoku/>
              <w:wordWrap/>
              <w:topLinePunct w:val="0"/>
              <w:bidi w:val="0"/>
              <w:spacing w:line="400" w:lineRule="exact"/>
              <w:ind w:firstLine="0" w:firstLineChars="0"/>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1</w:t>
            </w:r>
          </w:p>
        </w:tc>
        <w:tc>
          <w:tcPr>
            <w:tcW w:w="3977" w:type="dxa"/>
            <w:noWrap w:val="0"/>
            <w:vAlign w:val="center"/>
          </w:tcPr>
          <w:p w14:paraId="7A4F5DAC">
            <w:pPr>
              <w:pStyle w:val="56"/>
              <w:pageBreakBefore w:val="0"/>
              <w:kinsoku/>
              <w:wordWrap/>
              <w:topLinePunct w:val="0"/>
              <w:bidi w:val="0"/>
              <w:spacing w:line="400" w:lineRule="exact"/>
              <w:ind w:firstLine="0" w:firstLineChars="0"/>
              <w:jc w:val="center"/>
              <w:rPr>
                <w:rFonts w:hint="eastAsia" w:ascii="宋体" w:hAnsi="宋体" w:eastAsia="宋体" w:cs="宋体"/>
                <w:sz w:val="24"/>
                <w:szCs w:val="24"/>
                <w:highlight w:val="none"/>
              </w:rPr>
            </w:pPr>
          </w:p>
        </w:tc>
      </w:tr>
    </w:tbl>
    <w:p w14:paraId="6FBDAE44">
      <w:pPr>
        <w:pStyle w:val="11"/>
        <w:pageBreakBefore w:val="0"/>
        <w:kinsoku/>
        <w:wordWrap/>
        <w:topLinePunct w:val="0"/>
        <w:bidi w:val="0"/>
        <w:spacing w:line="400" w:lineRule="exact"/>
        <w:rPr>
          <w:rFonts w:hint="eastAsia" w:ascii="宋体" w:hAnsi="宋体" w:eastAsia="宋体" w:cs="宋体"/>
          <w:sz w:val="24"/>
          <w:szCs w:val="24"/>
          <w:highlight w:val="none"/>
        </w:rPr>
      </w:pPr>
    </w:p>
    <w:p w14:paraId="3F8988CB">
      <w:pPr>
        <w:keepNext w:val="0"/>
        <w:keepLines w:val="0"/>
        <w:pageBreakBefore w:val="0"/>
        <w:widowControl w:val="0"/>
        <w:kinsoku/>
        <w:wordWrap/>
        <w:topLinePunct w:val="0"/>
        <w:bidi w:val="0"/>
        <w:spacing w:line="385" w:lineRule="exact"/>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二、施工内容</w:t>
      </w:r>
    </w:p>
    <w:p w14:paraId="4D73B045">
      <w:pPr>
        <w:pStyle w:val="56"/>
        <w:keepNext w:val="0"/>
        <w:keepLines w:val="0"/>
        <w:pageBreakBefore w:val="0"/>
        <w:widowControl w:val="0"/>
        <w:numPr>
          <w:ilvl w:val="0"/>
          <w:numId w:val="0"/>
        </w:numPr>
        <w:kinsoku/>
        <w:wordWrap/>
        <w:topLinePunct w:val="0"/>
        <w:bidi w:val="0"/>
        <w:spacing w:line="385"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rPr>
        <w:t>有源滤波柜采用10#槽钢做基础安装在低压配电室靠南面墙；</w:t>
      </w:r>
    </w:p>
    <w:p w14:paraId="2A7E41BC">
      <w:pPr>
        <w:pStyle w:val="56"/>
        <w:keepNext w:val="0"/>
        <w:keepLines w:val="0"/>
        <w:pageBreakBefore w:val="0"/>
        <w:widowControl w:val="0"/>
        <w:numPr>
          <w:ilvl w:val="0"/>
          <w:numId w:val="0"/>
        </w:numPr>
        <w:kinsoku/>
        <w:wordWrap/>
        <w:topLinePunct w:val="0"/>
        <w:bidi w:val="0"/>
        <w:spacing w:line="385"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rPr>
        <w:t>电源线采用BVR-150mm²电力电缆从低压配电柜母线排通过电缆沟引致滤波柜进线开关；</w:t>
      </w:r>
    </w:p>
    <w:p w14:paraId="2D7EA85A">
      <w:pPr>
        <w:pStyle w:val="56"/>
        <w:keepNext w:val="0"/>
        <w:keepLines w:val="0"/>
        <w:pageBreakBefore w:val="0"/>
        <w:widowControl w:val="0"/>
        <w:numPr>
          <w:ilvl w:val="0"/>
          <w:numId w:val="0"/>
        </w:numPr>
        <w:kinsoku/>
        <w:wordWrap/>
        <w:topLinePunct w:val="0"/>
        <w:bidi w:val="0"/>
        <w:spacing w:line="385"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rPr>
        <w:t>做好接地电阻测试,电阻率不大于4Ω。</w:t>
      </w:r>
    </w:p>
    <w:p w14:paraId="71B25EF4">
      <w:pPr>
        <w:keepNext w:val="0"/>
        <w:keepLines w:val="0"/>
        <w:pageBreakBefore w:val="0"/>
        <w:widowControl w:val="0"/>
        <w:numPr>
          <w:ilvl w:val="0"/>
          <w:numId w:val="0"/>
        </w:numPr>
        <w:kinsoku/>
        <w:wordWrap/>
        <w:topLinePunct w:val="0"/>
        <w:bidi w:val="0"/>
        <w:spacing w:line="385" w:lineRule="exact"/>
        <w:ind w:firstLine="480" w:firstLineChars="200"/>
        <w:textAlignment w:val="auto"/>
        <w:rPr>
          <w:rFonts w:hint="eastAsia" w:ascii="宋体" w:hAnsi="宋体" w:eastAsia="宋体" w:cs="宋体"/>
          <w:color w:val="0D0D0D" w:themeColor="text1" w:themeTint="F2"/>
          <w:kern w:val="0"/>
          <w:sz w:val="24"/>
          <w:szCs w:val="24"/>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0"/>
          <w:sz w:val="24"/>
          <w:szCs w:val="24"/>
          <w:highlight w:val="none"/>
          <w:lang w:val="en-US" w:eastAsia="zh-CN"/>
          <w14:textFill>
            <w14:solidFill>
              <w14:schemeClr w14:val="tx1">
                <w14:lumMod w14:val="95000"/>
                <w14:lumOff w14:val="5000"/>
              </w14:schemeClr>
            </w14:solidFill>
          </w14:textFill>
        </w:rPr>
        <w:t>4.</w:t>
      </w:r>
      <w:r>
        <w:rPr>
          <w:rFonts w:hint="eastAsia" w:ascii="宋体" w:hAnsi="宋体" w:eastAsia="宋体" w:cs="宋体"/>
          <w:color w:val="0D0D0D" w:themeColor="text1" w:themeTint="F2"/>
          <w:kern w:val="0"/>
          <w:sz w:val="24"/>
          <w:szCs w:val="24"/>
          <w:highlight w:val="none"/>
          <w14:textFill>
            <w14:solidFill>
              <w14:schemeClr w14:val="tx1">
                <w14:lumMod w14:val="95000"/>
                <w14:lumOff w14:val="5000"/>
              </w14:schemeClr>
            </w14:solidFill>
          </w14:textFill>
        </w:rPr>
        <w:t xml:space="preserve">合同签订之日起30个日历天内将货物送至招标人指定地点；货物交付后30个工作日内安装调试完毕。 </w:t>
      </w:r>
    </w:p>
    <w:p w14:paraId="0AF5CD3F">
      <w:pPr>
        <w:keepNext w:val="0"/>
        <w:keepLines w:val="0"/>
        <w:pageBreakBefore w:val="0"/>
        <w:widowControl w:val="0"/>
        <w:kinsoku/>
        <w:wordWrap/>
        <w:overflowPunct/>
        <w:topLinePunct w:val="0"/>
        <w:autoSpaceDE/>
        <w:autoSpaceDN/>
        <w:bidi w:val="0"/>
        <w:adjustRightInd/>
        <w:snapToGrid/>
        <w:spacing w:before="157" w:beforeLines="50" w:line="385" w:lineRule="exact"/>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三、质量标准</w:t>
      </w:r>
    </w:p>
    <w:p w14:paraId="6F20A278">
      <w:pPr>
        <w:keepNext w:val="0"/>
        <w:keepLines w:val="0"/>
        <w:pageBreakBefore w:val="0"/>
        <w:widowControl w:val="0"/>
        <w:kinsoku/>
        <w:wordWrap/>
        <w:topLinePunct w:val="0"/>
        <w:bidi w:val="0"/>
        <w:spacing w:line="385"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具有CNAS/CMA资质三方出具的电能质量检测报告，检测数据必须符合供电部门的技术要求</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并有</w:t>
      </w:r>
      <w:r>
        <w:rPr>
          <w:rFonts w:hint="eastAsia" w:ascii="宋体" w:hAnsi="宋体" w:cs="宋体"/>
          <w:sz w:val="24"/>
          <w:szCs w:val="24"/>
          <w:highlight w:val="none"/>
          <w:lang w:val="en-US" w:eastAsia="zh-CN"/>
        </w:rPr>
        <w:t>卖</w:t>
      </w:r>
      <w:r>
        <w:rPr>
          <w:rFonts w:hint="eastAsia" w:ascii="宋体" w:hAnsi="宋体" w:eastAsia="宋体" w:cs="宋体"/>
          <w:sz w:val="24"/>
          <w:szCs w:val="24"/>
          <w:highlight w:val="none"/>
          <w:lang w:val="en-US" w:eastAsia="zh-CN"/>
        </w:rPr>
        <w:t>方提交项目所在地供电部门审核通过备案</w:t>
      </w:r>
      <w:r>
        <w:rPr>
          <w:rFonts w:hint="eastAsia" w:ascii="宋体" w:hAnsi="宋体" w:eastAsia="宋体" w:cs="宋体"/>
          <w:sz w:val="24"/>
          <w:szCs w:val="24"/>
          <w:highlight w:val="none"/>
        </w:rPr>
        <w:t>。</w:t>
      </w:r>
    </w:p>
    <w:p w14:paraId="715396BB">
      <w:pPr>
        <w:keepNext w:val="0"/>
        <w:keepLines w:val="0"/>
        <w:pageBreakBefore w:val="0"/>
        <w:widowControl w:val="0"/>
        <w:kinsoku/>
        <w:wordWrap/>
        <w:overflowPunct/>
        <w:topLinePunct w:val="0"/>
        <w:autoSpaceDE/>
        <w:autoSpaceDN/>
        <w:bidi w:val="0"/>
        <w:adjustRightInd/>
        <w:snapToGrid/>
        <w:spacing w:before="157" w:beforeLines="50" w:line="385" w:lineRule="exact"/>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四、资质要求</w:t>
      </w:r>
    </w:p>
    <w:p w14:paraId="387F2767">
      <w:pPr>
        <w:keepNext w:val="0"/>
        <w:keepLines w:val="0"/>
        <w:pageBreakBefore w:val="0"/>
        <w:widowControl w:val="0"/>
        <w:kinsoku/>
        <w:wordWrap/>
        <w:topLinePunct w:val="0"/>
        <w:bidi w:val="0"/>
        <w:spacing w:line="385"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具有国家电管部门颁发的承装（修、试）电力设施许可证：承装类四级（含四级）</w:t>
      </w:r>
      <w:r>
        <w:rPr>
          <w:rFonts w:hint="eastAsia" w:ascii="宋体" w:hAnsi="宋体" w:eastAsia="宋体" w:cs="宋体"/>
          <w:sz w:val="24"/>
          <w:szCs w:val="24"/>
          <w:highlight w:val="none"/>
          <w:lang w:val="en-US" w:eastAsia="zh-CN"/>
        </w:rPr>
        <w:t>或</w:t>
      </w:r>
      <w:r>
        <w:rPr>
          <w:rFonts w:hint="eastAsia" w:ascii="宋体" w:hAnsi="宋体" w:eastAsia="宋体" w:cs="宋体"/>
          <w:sz w:val="24"/>
          <w:szCs w:val="24"/>
          <w:highlight w:val="none"/>
        </w:rPr>
        <w:t>承修类四级（含四级）</w:t>
      </w:r>
      <w:r>
        <w:rPr>
          <w:rFonts w:hint="eastAsia" w:ascii="宋体" w:hAnsi="宋体" w:eastAsia="宋体" w:cs="宋体"/>
          <w:sz w:val="24"/>
          <w:szCs w:val="24"/>
          <w:highlight w:val="none"/>
          <w:lang w:val="en-US" w:eastAsia="zh-CN"/>
        </w:rPr>
        <w:t>或</w:t>
      </w:r>
      <w:r>
        <w:rPr>
          <w:rFonts w:hint="eastAsia" w:ascii="宋体" w:hAnsi="宋体" w:eastAsia="宋体" w:cs="宋体"/>
          <w:sz w:val="24"/>
          <w:szCs w:val="24"/>
          <w:highlight w:val="none"/>
        </w:rPr>
        <w:t>承试类四级（含四级）及以上资质，产品型式试验报告，营业执照</w:t>
      </w:r>
    </w:p>
    <w:p w14:paraId="2734CF41">
      <w:pPr>
        <w:keepNext w:val="0"/>
        <w:keepLines w:val="0"/>
        <w:pageBreakBefore w:val="0"/>
        <w:widowControl w:val="0"/>
        <w:kinsoku/>
        <w:wordWrap/>
        <w:overflowPunct/>
        <w:topLinePunct w:val="0"/>
        <w:autoSpaceDE/>
        <w:autoSpaceDN/>
        <w:bidi w:val="0"/>
        <w:adjustRightInd/>
        <w:snapToGrid/>
        <w:spacing w:before="157" w:beforeLines="50" w:line="385" w:lineRule="exact"/>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五、技术要求：有源滤波器需符合以下标准</w:t>
      </w:r>
    </w:p>
    <w:p w14:paraId="4174B99C">
      <w:pPr>
        <w:keepNext w:val="0"/>
        <w:keepLines w:val="0"/>
        <w:pageBreakBefore w:val="0"/>
        <w:widowControl w:val="0"/>
        <w:kinsoku/>
        <w:wordWrap/>
        <w:topLinePunct w:val="0"/>
        <w:bidi w:val="0"/>
        <w:spacing w:line="385"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GB/T14549-93《电能质量：公用电网谐波》；</w:t>
      </w:r>
    </w:p>
    <w:p w14:paraId="3A01D6F2">
      <w:pPr>
        <w:keepNext w:val="0"/>
        <w:keepLines w:val="0"/>
        <w:pageBreakBefore w:val="0"/>
        <w:widowControl w:val="0"/>
        <w:kinsoku/>
        <w:wordWrap/>
        <w:topLinePunct w:val="0"/>
        <w:bidi w:val="0"/>
        <w:spacing w:line="385"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GB/T15543-1995 《电能质量：三相电压允许不平衡度》；</w:t>
      </w:r>
    </w:p>
    <w:p w14:paraId="7E8575F8">
      <w:pPr>
        <w:keepNext w:val="0"/>
        <w:keepLines w:val="0"/>
        <w:pageBreakBefore w:val="0"/>
        <w:widowControl w:val="0"/>
        <w:kinsoku/>
        <w:wordWrap/>
        <w:topLinePunct w:val="0"/>
        <w:bidi w:val="0"/>
        <w:spacing w:line="385"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GB/T15945-1995 《电能质量：电力系统频率允许偏差》；</w:t>
      </w:r>
    </w:p>
    <w:p w14:paraId="3F66E1A1">
      <w:pPr>
        <w:keepNext w:val="0"/>
        <w:keepLines w:val="0"/>
        <w:pageBreakBefore w:val="0"/>
        <w:widowControl w:val="0"/>
        <w:kinsoku/>
        <w:wordWrap/>
        <w:topLinePunct w:val="0"/>
        <w:bidi w:val="0"/>
        <w:spacing w:line="385"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GB/T12326-2000 《电能质量：电压波动和闪变》；</w:t>
      </w:r>
    </w:p>
    <w:p w14:paraId="27E8F887">
      <w:pPr>
        <w:keepNext w:val="0"/>
        <w:keepLines w:val="0"/>
        <w:pageBreakBefore w:val="0"/>
        <w:widowControl w:val="0"/>
        <w:kinsoku/>
        <w:wordWrap/>
        <w:topLinePunct w:val="0"/>
        <w:bidi w:val="0"/>
        <w:spacing w:line="385"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GB/T12325-2003 《电能质量：供电电压允许偏差》；</w:t>
      </w:r>
    </w:p>
    <w:p w14:paraId="5B935963">
      <w:pPr>
        <w:keepNext w:val="0"/>
        <w:keepLines w:val="0"/>
        <w:pageBreakBefore w:val="0"/>
        <w:widowControl w:val="0"/>
        <w:kinsoku/>
        <w:wordWrap/>
        <w:topLinePunct w:val="0"/>
        <w:bidi w:val="0"/>
        <w:spacing w:line="385"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GB/T18481-2001 《电能质量：暂时过电压和瞬态过电压》；</w:t>
      </w:r>
    </w:p>
    <w:p w14:paraId="6909D7EE">
      <w:pPr>
        <w:keepNext w:val="0"/>
        <w:keepLines w:val="0"/>
        <w:pageBreakBefore w:val="0"/>
        <w:widowControl w:val="0"/>
        <w:kinsoku/>
        <w:wordWrap/>
        <w:topLinePunct w:val="0"/>
        <w:bidi w:val="0"/>
        <w:spacing w:line="385" w:lineRule="exact"/>
        <w:ind w:firstLine="480" w:firstLineChars="200"/>
        <w:textAlignment w:val="auto"/>
        <w:rPr>
          <w:rFonts w:hint="eastAsia" w:ascii="宋体" w:hAnsi="宋体" w:eastAsia="宋体" w:cs="宋体"/>
          <w:b w:val="0"/>
          <w:bCs w:val="0"/>
          <w:kern w:val="2"/>
          <w:sz w:val="24"/>
          <w:szCs w:val="24"/>
          <w:highlight w:val="none"/>
          <w:lang w:val="en-US" w:eastAsia="zh-CN" w:bidi="ar-SA"/>
        </w:rPr>
      </w:pPr>
      <w:r>
        <w:rPr>
          <w:rFonts w:hint="eastAsia" w:ascii="宋体" w:hAnsi="宋体" w:eastAsia="宋体" w:cs="宋体"/>
          <w:b w:val="0"/>
          <w:bCs w:val="0"/>
          <w:kern w:val="2"/>
          <w:sz w:val="24"/>
          <w:szCs w:val="24"/>
          <w:highlight w:val="none"/>
          <w:lang w:val="en-US" w:eastAsia="zh-CN" w:bidi="ar-SA"/>
        </w:rPr>
        <w:t>GB/T15576-1995 《低压无功功率静态补偿装置总技术条件》；</w:t>
      </w:r>
    </w:p>
    <w:p w14:paraId="45AE7FB0">
      <w:pPr>
        <w:keepNext w:val="0"/>
        <w:keepLines w:val="0"/>
        <w:pageBreakBefore w:val="0"/>
        <w:widowControl w:val="0"/>
        <w:kinsoku/>
        <w:wordWrap/>
        <w:topLinePunct w:val="0"/>
        <w:bidi w:val="0"/>
        <w:spacing w:line="385"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GB7625.11998 《低压电气电子产品发出的谐波电流限值》；</w:t>
      </w:r>
    </w:p>
    <w:p w14:paraId="6EE5A454">
      <w:pPr>
        <w:keepNext w:val="0"/>
        <w:keepLines w:val="0"/>
        <w:pageBreakBefore w:val="0"/>
        <w:widowControl w:val="0"/>
        <w:kinsoku/>
        <w:wordWrap/>
        <w:overflowPunct/>
        <w:topLinePunct w:val="0"/>
        <w:autoSpaceDE/>
        <w:autoSpaceDN/>
        <w:bidi w:val="0"/>
        <w:adjustRightInd/>
        <w:snapToGrid/>
        <w:spacing w:before="157" w:beforeLines="50" w:line="385" w:lineRule="exact"/>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lang w:val="en-US" w:eastAsia="zh-CN"/>
        </w:rPr>
        <w:t>六、</w:t>
      </w:r>
      <w:r>
        <w:rPr>
          <w:rFonts w:hint="eastAsia" w:ascii="宋体" w:hAnsi="宋体" w:eastAsia="宋体" w:cs="宋体"/>
          <w:b/>
          <w:bCs/>
          <w:sz w:val="24"/>
          <w:szCs w:val="24"/>
          <w:highlight w:val="none"/>
        </w:rPr>
        <w:t>有源滤波器运行环境</w:t>
      </w:r>
    </w:p>
    <w:p w14:paraId="4F11E9CA">
      <w:pPr>
        <w:keepNext w:val="0"/>
        <w:keepLines w:val="0"/>
        <w:pageBreakBefore w:val="0"/>
        <w:widowControl w:val="0"/>
        <w:kinsoku/>
        <w:wordWrap/>
        <w:topLinePunct w:val="0"/>
        <w:bidi w:val="0"/>
        <w:spacing w:line="385"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rPr>
        <w:t>海拔高度：1500m及以下。</w:t>
      </w:r>
    </w:p>
    <w:p w14:paraId="7BCF8104">
      <w:pPr>
        <w:keepNext w:val="0"/>
        <w:keepLines w:val="0"/>
        <w:pageBreakBefore w:val="0"/>
        <w:widowControl w:val="0"/>
        <w:kinsoku/>
        <w:wordWrap/>
        <w:topLinePunct w:val="0"/>
        <w:bidi w:val="0"/>
        <w:spacing w:line="385"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rPr>
        <w:t>地震烈度：≤8度，属于构造较稳定区。</w:t>
      </w:r>
    </w:p>
    <w:p w14:paraId="4C5589B6">
      <w:pPr>
        <w:keepNext w:val="0"/>
        <w:keepLines w:val="0"/>
        <w:pageBreakBefore w:val="0"/>
        <w:widowControl w:val="0"/>
        <w:kinsoku/>
        <w:wordWrap/>
        <w:topLinePunct w:val="0"/>
        <w:bidi w:val="0"/>
        <w:spacing w:line="385"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rPr>
        <w:t>环境温度：-10℃～+40℃；储运温度-40℃～70℃。</w:t>
      </w:r>
    </w:p>
    <w:p w14:paraId="27AD4FB0">
      <w:pPr>
        <w:keepNext w:val="0"/>
        <w:keepLines w:val="0"/>
        <w:pageBreakBefore w:val="0"/>
        <w:widowControl w:val="0"/>
        <w:kinsoku/>
        <w:wordWrap/>
        <w:topLinePunct w:val="0"/>
        <w:bidi w:val="0"/>
        <w:spacing w:line="385"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rPr>
        <w:t>极限最高相对湿度：95％。</w:t>
      </w:r>
    </w:p>
    <w:p w14:paraId="3E32587F">
      <w:pPr>
        <w:keepNext w:val="0"/>
        <w:keepLines w:val="0"/>
        <w:pageBreakBefore w:val="0"/>
        <w:widowControl w:val="0"/>
        <w:kinsoku/>
        <w:wordWrap/>
        <w:topLinePunct w:val="0"/>
        <w:bidi w:val="0"/>
        <w:spacing w:line="385"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rPr>
        <w:t>环境相对湿度： 5％～95％。</w:t>
      </w:r>
    </w:p>
    <w:p w14:paraId="2FC99E85">
      <w:pPr>
        <w:keepNext w:val="0"/>
        <w:keepLines w:val="0"/>
        <w:pageBreakBefore w:val="0"/>
        <w:widowControl w:val="0"/>
        <w:kinsoku/>
        <w:wordWrap/>
        <w:overflowPunct/>
        <w:topLinePunct w:val="0"/>
        <w:autoSpaceDE/>
        <w:autoSpaceDN/>
        <w:bidi w:val="0"/>
        <w:adjustRightInd/>
        <w:snapToGrid/>
        <w:spacing w:before="157" w:beforeLines="50" w:line="385" w:lineRule="exact"/>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lang w:val="en-US" w:eastAsia="zh-CN"/>
        </w:rPr>
        <w:t>七、</w:t>
      </w:r>
      <w:r>
        <w:rPr>
          <w:rFonts w:hint="eastAsia" w:ascii="宋体" w:hAnsi="宋体" w:eastAsia="宋体" w:cs="宋体"/>
          <w:b/>
          <w:bCs/>
          <w:sz w:val="24"/>
          <w:szCs w:val="24"/>
          <w:highlight w:val="none"/>
        </w:rPr>
        <w:t>有源滤波器技术参数要求</w:t>
      </w:r>
    </w:p>
    <w:p w14:paraId="32428120">
      <w:pPr>
        <w:keepNext w:val="0"/>
        <w:keepLines w:val="0"/>
        <w:pageBreakBefore w:val="0"/>
        <w:widowControl w:val="0"/>
        <w:kinsoku/>
        <w:wordWrap/>
        <w:topLinePunct w:val="0"/>
        <w:bidi w:val="0"/>
        <w:spacing w:line="385"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1.额定电压：380V/400V，波动范围-40%~+20%。</w:t>
      </w:r>
    </w:p>
    <w:p w14:paraId="754DDE28">
      <w:pPr>
        <w:keepNext w:val="0"/>
        <w:keepLines w:val="0"/>
        <w:pageBreakBefore w:val="0"/>
        <w:widowControl w:val="0"/>
        <w:kinsoku/>
        <w:wordWrap/>
        <w:topLinePunct w:val="0"/>
        <w:bidi w:val="0"/>
        <w:spacing w:line="385"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额定频率：45-62HZ。</w:t>
      </w:r>
    </w:p>
    <w:p w14:paraId="5103B1AC">
      <w:pPr>
        <w:keepNext w:val="0"/>
        <w:keepLines w:val="0"/>
        <w:pageBreakBefore w:val="0"/>
        <w:widowControl w:val="0"/>
        <w:kinsoku/>
        <w:wordWrap/>
        <w:topLinePunct w:val="0"/>
        <w:bidi w:val="0"/>
        <w:spacing w:line="385"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相/线：3相4线或3相3线可通过软件选择，而无需更改硬件配置。</w:t>
      </w:r>
    </w:p>
    <w:p w14:paraId="132E70CA">
      <w:pPr>
        <w:keepNext w:val="0"/>
        <w:keepLines w:val="0"/>
        <w:pageBreakBefore w:val="0"/>
        <w:widowControl w:val="0"/>
        <w:kinsoku/>
        <w:wordWrap/>
        <w:topLinePunct w:val="0"/>
        <w:bidi w:val="0"/>
        <w:spacing w:line="385"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4</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扩容方式：模块化设计，支持多机并联扩容，并联容量不受限制。可通过增加机柜所装的模块数量进行扩容。</w:t>
      </w:r>
    </w:p>
    <w:p w14:paraId="513EF4F1">
      <w:pPr>
        <w:keepNext w:val="0"/>
        <w:keepLines w:val="0"/>
        <w:pageBreakBefore w:val="0"/>
        <w:widowControl w:val="0"/>
        <w:kinsoku/>
        <w:wordWrap/>
        <w:topLinePunct w:val="0"/>
        <w:bidi w:val="0"/>
        <w:spacing w:line="385"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5</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单模块容量含有25A、35A、50A、60A、100A、150A多样化机型，以满足招标方对于不同容量的需求。并且不同容量的模块可以自由并联扩容。</w:t>
      </w:r>
    </w:p>
    <w:p w14:paraId="4151580A">
      <w:pPr>
        <w:keepNext w:val="0"/>
        <w:keepLines w:val="0"/>
        <w:pageBreakBefore w:val="0"/>
        <w:widowControl w:val="0"/>
        <w:kinsoku/>
        <w:wordWrap/>
        <w:topLinePunct w:val="0"/>
        <w:bidi w:val="0"/>
        <w:spacing w:line="385"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6</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安装方式为模块化设计机柜式安装，为了满足大容量的需求，单柜最大补偿容量至少为</w:t>
      </w: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rPr>
        <w:t>00A。个别补偿点空间不足时模块亦可满足壁挂式安装。</w:t>
      </w:r>
    </w:p>
    <w:p w14:paraId="5EDBEA33">
      <w:pPr>
        <w:keepNext w:val="0"/>
        <w:keepLines w:val="0"/>
        <w:pageBreakBefore w:val="0"/>
        <w:widowControl w:val="0"/>
        <w:kinsoku/>
        <w:wordWrap/>
        <w:topLinePunct w:val="0"/>
        <w:bidi w:val="0"/>
        <w:spacing w:line="385" w:lineRule="exact"/>
        <w:ind w:firstLine="480" w:firstLineChars="200"/>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lang w:val="en-US" w:eastAsia="zh-CN"/>
        </w:rPr>
        <w:t>7.</w:t>
      </w:r>
      <w:r>
        <w:rPr>
          <w:rFonts w:hint="eastAsia" w:ascii="宋体" w:hAnsi="宋体" w:eastAsia="宋体" w:cs="宋体"/>
          <w:color w:val="000000"/>
          <w:sz w:val="24"/>
          <w:szCs w:val="24"/>
          <w:highlight w:val="none"/>
        </w:rPr>
        <w:t>有源滤波器模块颜色：黑色。</w:t>
      </w:r>
    </w:p>
    <w:p w14:paraId="2D593F4C">
      <w:pPr>
        <w:pStyle w:val="75"/>
        <w:keepNext w:val="0"/>
        <w:keepLines w:val="0"/>
        <w:pageBreakBefore w:val="0"/>
        <w:widowControl w:val="0"/>
        <w:kinsoku/>
        <w:wordWrap/>
        <w:topLinePunct w:val="0"/>
        <w:bidi w:val="0"/>
        <w:spacing w:line="385"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8.</w:t>
      </w:r>
      <w:r>
        <w:rPr>
          <w:rFonts w:hint="eastAsia" w:ascii="宋体" w:hAnsi="宋体" w:eastAsia="宋体" w:cs="宋体"/>
          <w:sz w:val="24"/>
          <w:szCs w:val="24"/>
          <w:highlight w:val="none"/>
        </w:rPr>
        <w:t xml:space="preserve">模块内应充分考虑到模块运行中的散热问题，在模块前后两端均有不同数量的散热槽孔。当模块内电器元件发热后，通过后端槽孔排出，而冷风不断地由前端槽孔补充进模块，使密封的模块自前而后形成一个通风道，达到散热的目的。采用风扇进行智能风冷。 </w:t>
      </w:r>
    </w:p>
    <w:p w14:paraId="2E220009">
      <w:pPr>
        <w:pStyle w:val="76"/>
        <w:keepNext w:val="0"/>
        <w:keepLines w:val="0"/>
        <w:pageBreakBefore w:val="0"/>
        <w:widowControl w:val="0"/>
        <w:kinsoku/>
        <w:wordWrap/>
        <w:topLinePunct w:val="0"/>
        <w:bidi w:val="0"/>
        <w:spacing w:line="385"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9.</w:t>
      </w:r>
      <w:r>
        <w:rPr>
          <w:rFonts w:hint="eastAsia" w:ascii="宋体" w:hAnsi="宋体" w:eastAsia="宋体" w:cs="宋体"/>
          <w:sz w:val="24"/>
          <w:szCs w:val="24"/>
          <w:highlight w:val="none"/>
        </w:rPr>
        <w:t>有源滤波器采用模块化设计，机柜式安装，柜体采用底部或顶部的接线方式，要求能方便与我方低压配电系统接线。</w:t>
      </w:r>
    </w:p>
    <w:p w14:paraId="35C46A2C">
      <w:pPr>
        <w:pStyle w:val="75"/>
        <w:keepNext w:val="0"/>
        <w:keepLines w:val="0"/>
        <w:pageBreakBefore w:val="0"/>
        <w:widowControl w:val="0"/>
        <w:kinsoku/>
        <w:wordWrap/>
        <w:topLinePunct w:val="0"/>
        <w:bidi w:val="0"/>
        <w:spacing w:line="385" w:lineRule="exact"/>
        <w:ind w:firstLine="480" w:firstLineChars="200"/>
        <w:textAlignment w:val="auto"/>
        <w:rPr>
          <w:rFonts w:hint="eastAsia" w:ascii="宋体" w:hAnsi="宋体" w:eastAsia="宋体" w:cs="宋体"/>
          <w:color w:val="000000"/>
          <w:sz w:val="24"/>
          <w:szCs w:val="24"/>
          <w:highlight w:val="none"/>
        </w:rPr>
      </w:pPr>
      <w:r>
        <w:rPr>
          <w:rFonts w:hint="eastAsia" w:ascii="宋体" w:hAnsi="宋体" w:eastAsia="宋体" w:cs="宋体"/>
          <w:sz w:val="24"/>
          <w:szCs w:val="24"/>
          <w:highlight w:val="none"/>
          <w:lang w:val="en-US" w:eastAsia="zh-CN"/>
        </w:rPr>
        <w:t>10.</w:t>
      </w:r>
      <w:r>
        <w:rPr>
          <w:rFonts w:hint="eastAsia" w:ascii="宋体" w:hAnsi="宋体" w:eastAsia="宋体" w:cs="宋体"/>
          <w:sz w:val="24"/>
          <w:szCs w:val="24"/>
          <w:highlight w:val="none"/>
        </w:rPr>
        <w:t>柜体使用的钢板符合IEC标准，平整度误差小于2mm/m</w:t>
      </w:r>
      <w:r>
        <w:rPr>
          <w:rFonts w:hint="eastAsia" w:ascii="宋体" w:hAnsi="宋体" w:eastAsia="宋体" w:cs="宋体"/>
          <w:sz w:val="24"/>
          <w:szCs w:val="24"/>
          <w:highlight w:val="none"/>
          <w:vertAlign w:val="superscript"/>
        </w:rPr>
        <w:t>2</w:t>
      </w:r>
      <w:r>
        <w:rPr>
          <w:rFonts w:hint="eastAsia" w:ascii="宋体" w:hAnsi="宋体" w:eastAsia="宋体" w:cs="宋体"/>
          <w:sz w:val="24"/>
          <w:szCs w:val="24"/>
          <w:highlight w:val="none"/>
        </w:rPr>
        <w:t>，防护等级要求可提供IP20防护等级的外壳。</w:t>
      </w:r>
    </w:p>
    <w:p w14:paraId="4C31E72D">
      <w:pPr>
        <w:pStyle w:val="76"/>
        <w:keepNext w:val="0"/>
        <w:keepLines w:val="0"/>
        <w:pageBreakBefore w:val="0"/>
        <w:widowControl w:val="0"/>
        <w:kinsoku/>
        <w:wordWrap/>
        <w:topLinePunct w:val="0"/>
        <w:bidi w:val="0"/>
        <w:spacing w:line="385"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11.</w:t>
      </w:r>
      <w:r>
        <w:rPr>
          <w:rFonts w:hint="eastAsia" w:ascii="宋体" w:hAnsi="宋体" w:eastAsia="宋体" w:cs="宋体"/>
          <w:sz w:val="24"/>
          <w:szCs w:val="24"/>
          <w:highlight w:val="none"/>
        </w:rPr>
        <w:t>有源滤波器采用全数字、模块化控制方式，CPU采用</w:t>
      </w:r>
      <w:r>
        <w:rPr>
          <w:rFonts w:hint="eastAsia" w:ascii="宋体" w:hAnsi="宋体" w:eastAsia="宋体" w:cs="宋体"/>
          <w:color w:val="000000"/>
          <w:sz w:val="24"/>
          <w:szCs w:val="24"/>
          <w:highlight w:val="none"/>
        </w:rPr>
        <w:t>3DSP+CPLD全数字、</w:t>
      </w:r>
      <w:r>
        <w:rPr>
          <w:rFonts w:hint="eastAsia" w:ascii="宋体" w:hAnsi="宋体" w:eastAsia="宋体" w:cs="宋体"/>
          <w:sz w:val="24"/>
          <w:szCs w:val="24"/>
          <w:highlight w:val="none"/>
        </w:rPr>
        <w:t>模块化控制，主控中心做全封闭防尘处理。</w:t>
      </w:r>
    </w:p>
    <w:p w14:paraId="193FBB03">
      <w:pPr>
        <w:pStyle w:val="76"/>
        <w:keepNext w:val="0"/>
        <w:keepLines w:val="0"/>
        <w:pageBreakBefore w:val="0"/>
        <w:widowControl w:val="0"/>
        <w:kinsoku/>
        <w:wordWrap/>
        <w:topLinePunct w:val="0"/>
        <w:bidi w:val="0"/>
        <w:spacing w:line="385"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12.</w:t>
      </w:r>
      <w:r>
        <w:rPr>
          <w:rFonts w:hint="eastAsia" w:ascii="宋体" w:hAnsi="宋体" w:eastAsia="宋体" w:cs="宋体"/>
          <w:sz w:val="24"/>
          <w:szCs w:val="24"/>
          <w:highlight w:val="none"/>
        </w:rPr>
        <w:t>能同时滤除2-50次谐波，也可以有选择性滤除各次谐波，并且2-50次任意次谐波的滤除率可调。</w:t>
      </w:r>
    </w:p>
    <w:p w14:paraId="01688226">
      <w:pPr>
        <w:pStyle w:val="76"/>
        <w:keepNext w:val="0"/>
        <w:keepLines w:val="0"/>
        <w:pageBreakBefore w:val="0"/>
        <w:widowControl w:val="0"/>
        <w:kinsoku/>
        <w:wordWrap/>
        <w:topLinePunct w:val="0"/>
        <w:bidi w:val="0"/>
        <w:spacing w:line="385"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13.</w:t>
      </w:r>
      <w:r>
        <w:rPr>
          <w:rFonts w:hint="eastAsia" w:ascii="宋体" w:hAnsi="宋体" w:eastAsia="宋体" w:cs="宋体"/>
          <w:sz w:val="24"/>
          <w:szCs w:val="24"/>
          <w:highlight w:val="none"/>
        </w:rPr>
        <w:t>有源滤波器采用直接控制方式，允许自由的选择谐波次数并对它们滤除，滤波范围为2-50次谐波。</w:t>
      </w:r>
    </w:p>
    <w:p w14:paraId="13905A98">
      <w:pPr>
        <w:pStyle w:val="76"/>
        <w:keepNext w:val="0"/>
        <w:keepLines w:val="0"/>
        <w:pageBreakBefore w:val="0"/>
        <w:widowControl w:val="0"/>
        <w:kinsoku/>
        <w:wordWrap/>
        <w:topLinePunct w:val="0"/>
        <w:bidi w:val="0"/>
        <w:spacing w:line="385"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14.</w:t>
      </w:r>
      <w:r>
        <w:rPr>
          <w:rFonts w:hint="eastAsia" w:ascii="宋体" w:hAnsi="宋体" w:eastAsia="宋体" w:cs="宋体"/>
          <w:sz w:val="24"/>
          <w:szCs w:val="24"/>
          <w:highlight w:val="none"/>
        </w:rPr>
        <w:t>控制算法：同时支持智能傅里叶、快速傅里叶（FFT）和瞬时无功三种算法。</w:t>
      </w:r>
    </w:p>
    <w:p w14:paraId="54C37BEC">
      <w:pPr>
        <w:pStyle w:val="76"/>
        <w:keepNext w:val="0"/>
        <w:keepLines w:val="0"/>
        <w:pageBreakBefore w:val="0"/>
        <w:widowControl w:val="0"/>
        <w:kinsoku/>
        <w:wordWrap/>
        <w:topLinePunct w:val="0"/>
        <w:bidi w:val="0"/>
        <w:spacing w:line="385"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15.</w:t>
      </w:r>
      <w:r>
        <w:rPr>
          <w:rFonts w:hint="eastAsia" w:ascii="宋体" w:hAnsi="宋体" w:eastAsia="宋体" w:cs="宋体"/>
          <w:sz w:val="24"/>
          <w:szCs w:val="24"/>
          <w:highlight w:val="none"/>
        </w:rPr>
        <w:t>同时支持CT的源侧和负载侧接法，可根据现场情况灵活调整。</w:t>
      </w:r>
    </w:p>
    <w:p w14:paraId="798B2843">
      <w:pPr>
        <w:pStyle w:val="76"/>
        <w:keepNext w:val="0"/>
        <w:keepLines w:val="0"/>
        <w:pageBreakBefore w:val="0"/>
        <w:widowControl w:val="0"/>
        <w:kinsoku/>
        <w:wordWrap/>
        <w:topLinePunct w:val="0"/>
        <w:bidi w:val="0"/>
        <w:spacing w:line="385"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16.</w:t>
      </w:r>
      <w:r>
        <w:rPr>
          <w:rFonts w:hint="eastAsia" w:ascii="宋体" w:hAnsi="宋体" w:eastAsia="宋体" w:cs="宋体"/>
          <w:sz w:val="24"/>
          <w:szCs w:val="24"/>
          <w:highlight w:val="none"/>
        </w:rPr>
        <w:t>滤波效果，在APF容量范围内，系统总谐波畸变率应控制在5%以内。（需提供权威检验机构型式试验报告）</w:t>
      </w:r>
    </w:p>
    <w:p w14:paraId="7F0F4C87">
      <w:pPr>
        <w:pStyle w:val="76"/>
        <w:keepNext w:val="0"/>
        <w:keepLines w:val="0"/>
        <w:pageBreakBefore w:val="0"/>
        <w:widowControl w:val="0"/>
        <w:kinsoku/>
        <w:wordWrap/>
        <w:topLinePunct w:val="0"/>
        <w:bidi w:val="0"/>
        <w:spacing w:line="385"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17.</w:t>
      </w:r>
      <w:r>
        <w:rPr>
          <w:rFonts w:hint="eastAsia" w:ascii="宋体" w:hAnsi="宋体" w:eastAsia="宋体" w:cs="宋体"/>
          <w:sz w:val="24"/>
          <w:szCs w:val="24"/>
          <w:highlight w:val="none"/>
        </w:rPr>
        <w:t>有源滤波器既能提供无级的感性无功也能提供无级的容性无功，并且目标功率因数可调。在APF容量范围内，其基波无功补偿率应能≥99%。（需提供权威检验机构型式试验报告）</w:t>
      </w:r>
    </w:p>
    <w:p w14:paraId="534E65B2">
      <w:pPr>
        <w:pStyle w:val="76"/>
        <w:keepNext w:val="0"/>
        <w:keepLines w:val="0"/>
        <w:pageBreakBefore w:val="0"/>
        <w:widowControl w:val="0"/>
        <w:kinsoku/>
        <w:wordWrap/>
        <w:topLinePunct w:val="0"/>
        <w:bidi w:val="0"/>
        <w:spacing w:line="385"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18.</w:t>
      </w:r>
      <w:r>
        <w:rPr>
          <w:rFonts w:hint="eastAsia" w:ascii="宋体" w:hAnsi="宋体" w:eastAsia="宋体" w:cs="宋体"/>
          <w:sz w:val="24"/>
          <w:szCs w:val="24"/>
          <w:highlight w:val="none"/>
        </w:rPr>
        <w:t>有源滤波器对A、B、C三相能分别补偿，具有恢复三相电流平衡的功能，同时中性线滤波能力为相线的三倍。</w:t>
      </w:r>
    </w:p>
    <w:p w14:paraId="0AE7681E">
      <w:pPr>
        <w:pStyle w:val="76"/>
        <w:keepNext w:val="0"/>
        <w:keepLines w:val="0"/>
        <w:pageBreakBefore w:val="0"/>
        <w:widowControl w:val="0"/>
        <w:kinsoku/>
        <w:wordWrap/>
        <w:topLinePunct w:val="0"/>
        <w:bidi w:val="0"/>
        <w:spacing w:line="385"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19.</w:t>
      </w:r>
      <w:r>
        <w:rPr>
          <w:rFonts w:hint="eastAsia" w:ascii="宋体" w:hAnsi="宋体" w:eastAsia="宋体" w:cs="宋体"/>
          <w:sz w:val="24"/>
          <w:szCs w:val="24"/>
          <w:highlight w:val="none"/>
        </w:rPr>
        <w:t>有源滤波器要独立于电网阻抗及系统阻抗，不受电网阻抗和系统阻抗变化的影响。</w:t>
      </w:r>
    </w:p>
    <w:p w14:paraId="65855A70">
      <w:pPr>
        <w:pStyle w:val="76"/>
        <w:keepNext w:val="0"/>
        <w:keepLines w:val="0"/>
        <w:pageBreakBefore w:val="0"/>
        <w:widowControl w:val="0"/>
        <w:kinsoku/>
        <w:wordWrap/>
        <w:topLinePunct w:val="0"/>
        <w:bidi w:val="0"/>
        <w:spacing w:line="385" w:lineRule="exact"/>
        <w:ind w:firstLine="480" w:firstLineChars="200"/>
        <w:textAlignment w:val="auto"/>
        <w:rPr>
          <w:rFonts w:hint="eastAsia" w:ascii="宋体" w:hAnsi="宋体" w:eastAsia="宋体" w:cs="宋体"/>
          <w:color w:val="0000FF"/>
          <w:sz w:val="24"/>
          <w:szCs w:val="24"/>
          <w:highlight w:val="none"/>
        </w:rPr>
      </w:pPr>
      <w:r>
        <w:rPr>
          <w:rFonts w:hint="eastAsia" w:ascii="宋体" w:hAnsi="宋体" w:eastAsia="宋体" w:cs="宋体"/>
          <w:sz w:val="24"/>
          <w:szCs w:val="24"/>
          <w:highlight w:val="none"/>
          <w:lang w:val="en-US" w:eastAsia="zh-CN"/>
        </w:rPr>
        <w:t>20.</w:t>
      </w:r>
      <w:r>
        <w:rPr>
          <w:rFonts w:hint="eastAsia" w:ascii="宋体" w:hAnsi="宋体" w:eastAsia="宋体" w:cs="宋体"/>
          <w:sz w:val="24"/>
          <w:szCs w:val="24"/>
          <w:highlight w:val="none"/>
        </w:rPr>
        <w:t>有源滤波器用于消除谐波的容量和补偿无功的容量的比例</w:t>
      </w:r>
      <w:r>
        <w:rPr>
          <w:rFonts w:hint="eastAsia" w:ascii="宋体" w:hAnsi="宋体" w:eastAsia="宋体" w:cs="宋体"/>
          <w:color w:val="000000"/>
          <w:sz w:val="24"/>
          <w:szCs w:val="24"/>
          <w:highlight w:val="none"/>
        </w:rPr>
        <w:t>可以根据现场的实际谐波量大小，设备自动跟踪补偿，也可改为手动自由设定补偿率。</w:t>
      </w:r>
    </w:p>
    <w:p w14:paraId="74F4E37E">
      <w:pPr>
        <w:pStyle w:val="76"/>
        <w:keepNext w:val="0"/>
        <w:keepLines w:val="0"/>
        <w:pageBreakBefore w:val="0"/>
        <w:widowControl w:val="0"/>
        <w:kinsoku/>
        <w:wordWrap/>
        <w:topLinePunct w:val="0"/>
        <w:bidi w:val="0"/>
        <w:spacing w:line="385"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21.</w:t>
      </w:r>
      <w:r>
        <w:rPr>
          <w:rFonts w:hint="eastAsia" w:ascii="宋体" w:hAnsi="宋体" w:eastAsia="宋体" w:cs="宋体"/>
          <w:sz w:val="24"/>
          <w:szCs w:val="24"/>
          <w:highlight w:val="none"/>
        </w:rPr>
        <w:t>有源滤波器能有效的抑制系统的闪变。</w:t>
      </w:r>
    </w:p>
    <w:p w14:paraId="1453A984">
      <w:pPr>
        <w:pStyle w:val="76"/>
        <w:keepNext w:val="0"/>
        <w:keepLines w:val="0"/>
        <w:pageBreakBefore w:val="0"/>
        <w:widowControl w:val="0"/>
        <w:kinsoku/>
        <w:wordWrap/>
        <w:topLinePunct w:val="0"/>
        <w:bidi w:val="0"/>
        <w:spacing w:line="385"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22.</w:t>
      </w:r>
      <w:r>
        <w:rPr>
          <w:rFonts w:hint="eastAsia" w:ascii="宋体" w:hAnsi="宋体" w:eastAsia="宋体" w:cs="宋体"/>
          <w:sz w:val="24"/>
          <w:szCs w:val="24"/>
          <w:highlight w:val="none"/>
        </w:rPr>
        <w:t>有源滤波器自身的高频载波不能回馈到电网，对其它的系统和设备没有干扰。</w:t>
      </w:r>
    </w:p>
    <w:p w14:paraId="739680AF">
      <w:pPr>
        <w:pStyle w:val="76"/>
        <w:keepNext w:val="0"/>
        <w:keepLines w:val="0"/>
        <w:pageBreakBefore w:val="0"/>
        <w:widowControl w:val="0"/>
        <w:kinsoku/>
        <w:wordWrap/>
        <w:topLinePunct w:val="0"/>
        <w:bidi w:val="0"/>
        <w:spacing w:line="385"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23.</w:t>
      </w:r>
      <w:r>
        <w:rPr>
          <w:rFonts w:hint="eastAsia" w:ascii="宋体" w:hAnsi="宋体" w:eastAsia="宋体" w:cs="宋体"/>
          <w:sz w:val="24"/>
          <w:szCs w:val="24"/>
          <w:highlight w:val="none"/>
        </w:rPr>
        <w:t>有源滤波器具备免维护功能，能保证长周期稳定运行，控制单元程序具备自检功能。</w:t>
      </w:r>
    </w:p>
    <w:p w14:paraId="13BA2AA1">
      <w:pPr>
        <w:pStyle w:val="76"/>
        <w:keepNext w:val="0"/>
        <w:keepLines w:val="0"/>
        <w:pageBreakBefore w:val="0"/>
        <w:widowControl w:val="0"/>
        <w:kinsoku/>
        <w:wordWrap/>
        <w:topLinePunct w:val="0"/>
        <w:bidi w:val="0"/>
        <w:spacing w:line="385"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24.</w:t>
      </w:r>
      <w:r>
        <w:rPr>
          <w:rFonts w:hint="eastAsia" w:ascii="宋体" w:hAnsi="宋体" w:eastAsia="宋体" w:cs="宋体"/>
          <w:sz w:val="24"/>
          <w:szCs w:val="24"/>
          <w:highlight w:val="none"/>
        </w:rPr>
        <w:t>有源滤波器采用液晶显示面板们在面板上能显示线电压有效值、电压谐波值、电流有效值、电流谐波值、视在功率、功率因数等运行参数。</w:t>
      </w:r>
    </w:p>
    <w:p w14:paraId="611A8AAE">
      <w:pPr>
        <w:pStyle w:val="76"/>
        <w:keepNext w:val="0"/>
        <w:keepLines w:val="0"/>
        <w:pageBreakBefore w:val="0"/>
        <w:widowControl w:val="0"/>
        <w:kinsoku/>
        <w:wordWrap/>
        <w:topLinePunct w:val="0"/>
        <w:bidi w:val="0"/>
        <w:spacing w:line="385"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25.</w:t>
      </w:r>
      <w:r>
        <w:rPr>
          <w:rFonts w:hint="eastAsia" w:ascii="宋体" w:hAnsi="宋体" w:eastAsia="宋体" w:cs="宋体"/>
          <w:sz w:val="24"/>
          <w:szCs w:val="24"/>
          <w:highlight w:val="none"/>
        </w:rPr>
        <w:t>当系统断电时，滤波器应自动断开。在系统恢复后，滤波器能自动恢复。</w:t>
      </w:r>
    </w:p>
    <w:p w14:paraId="47BD592C">
      <w:pPr>
        <w:pStyle w:val="76"/>
        <w:keepNext w:val="0"/>
        <w:keepLines w:val="0"/>
        <w:pageBreakBefore w:val="0"/>
        <w:widowControl w:val="0"/>
        <w:kinsoku/>
        <w:wordWrap/>
        <w:topLinePunct w:val="0"/>
        <w:bidi w:val="0"/>
        <w:spacing w:line="385"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26.</w:t>
      </w:r>
      <w:r>
        <w:rPr>
          <w:rFonts w:hint="eastAsia" w:ascii="宋体" w:hAnsi="宋体" w:eastAsia="宋体" w:cs="宋体"/>
          <w:sz w:val="24"/>
          <w:szCs w:val="24"/>
          <w:highlight w:val="none"/>
        </w:rPr>
        <w:t>系统具备快速、完全的故障自检功能，同时自动采取相对应的操作。</w:t>
      </w:r>
    </w:p>
    <w:p w14:paraId="2B9774F9">
      <w:pPr>
        <w:pStyle w:val="76"/>
        <w:keepNext w:val="0"/>
        <w:keepLines w:val="0"/>
        <w:pageBreakBefore w:val="0"/>
        <w:widowControl w:val="0"/>
        <w:kinsoku/>
        <w:wordWrap/>
        <w:topLinePunct w:val="0"/>
        <w:bidi w:val="0"/>
        <w:spacing w:line="385"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27.</w:t>
      </w:r>
      <w:r>
        <w:rPr>
          <w:rFonts w:hint="eastAsia" w:ascii="宋体" w:hAnsi="宋体" w:eastAsia="宋体" w:cs="宋体"/>
          <w:sz w:val="24"/>
          <w:szCs w:val="24"/>
          <w:highlight w:val="none"/>
        </w:rPr>
        <w:t>应具备完整的保护装置，包括过载、过电流、短路、IGBT异常、系统失压、内置电容器过电压等功能。故障出现后机器会自动报警且停止工作不会影响其他设备正常运行。</w:t>
      </w:r>
    </w:p>
    <w:p w14:paraId="10F5C686">
      <w:pPr>
        <w:pStyle w:val="76"/>
        <w:keepNext w:val="0"/>
        <w:keepLines w:val="0"/>
        <w:pageBreakBefore w:val="0"/>
        <w:widowControl w:val="0"/>
        <w:kinsoku/>
        <w:wordWrap/>
        <w:topLinePunct w:val="0"/>
        <w:bidi w:val="0"/>
        <w:spacing w:line="385"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28.</w:t>
      </w:r>
      <w:r>
        <w:rPr>
          <w:rFonts w:hint="eastAsia" w:ascii="宋体" w:hAnsi="宋体" w:eastAsia="宋体" w:cs="宋体"/>
          <w:sz w:val="24"/>
          <w:szCs w:val="24"/>
          <w:highlight w:val="none"/>
        </w:rPr>
        <w:t>自动限定在额定容量范围内100%输出，如果负载侧谐波电流大于其额定容量，滤波器应能在额定容量内继续输出电流补偿谐波，不发出过载导致设备超载或退出运行。具有缓启动回路，以避免启动瞬间过大的突入电流，并限制该电流在额定范围内。</w:t>
      </w:r>
    </w:p>
    <w:p w14:paraId="665F0053">
      <w:pPr>
        <w:pStyle w:val="76"/>
        <w:keepNext w:val="0"/>
        <w:keepLines w:val="0"/>
        <w:pageBreakBefore w:val="0"/>
        <w:widowControl w:val="0"/>
        <w:kinsoku/>
        <w:wordWrap/>
        <w:topLinePunct w:val="0"/>
        <w:bidi w:val="0"/>
        <w:spacing w:line="385"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29.</w:t>
      </w:r>
      <w:r>
        <w:rPr>
          <w:rFonts w:hint="eastAsia" w:ascii="宋体" w:hAnsi="宋体" w:eastAsia="宋体" w:cs="宋体"/>
          <w:color w:val="000000"/>
          <w:sz w:val="24"/>
          <w:szCs w:val="24"/>
          <w:highlight w:val="none"/>
        </w:rPr>
        <w:t>有源滤波器具备RS485通讯接口并且可以扩展以太网络接口、干接点接口，并设置备用通道，以防止将来增加功能时有通道可用，</w:t>
      </w:r>
      <w:r>
        <w:rPr>
          <w:rFonts w:hint="eastAsia" w:ascii="宋体" w:hAnsi="宋体" w:eastAsia="宋体" w:cs="宋体"/>
          <w:sz w:val="24"/>
          <w:szCs w:val="24"/>
          <w:highlight w:val="none"/>
        </w:rPr>
        <w:t>在中央控制室能显示源滤波器的运行状态。在有源滤波器发生故障时，具有声、光报警功能。</w:t>
      </w:r>
    </w:p>
    <w:p w14:paraId="5CEC03F4">
      <w:pPr>
        <w:pStyle w:val="75"/>
        <w:keepNext w:val="0"/>
        <w:keepLines w:val="0"/>
        <w:pageBreakBefore w:val="0"/>
        <w:widowControl w:val="0"/>
        <w:kinsoku/>
        <w:wordWrap/>
        <w:topLinePunct w:val="0"/>
        <w:bidi w:val="0"/>
        <w:spacing w:line="385"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30.</w:t>
      </w:r>
      <w:r>
        <w:rPr>
          <w:rFonts w:hint="eastAsia" w:ascii="宋体" w:hAnsi="宋体" w:eastAsia="宋体" w:cs="宋体"/>
          <w:sz w:val="24"/>
          <w:szCs w:val="24"/>
          <w:highlight w:val="none"/>
        </w:rPr>
        <w:t>有源滤波器要求采用成熟的IGBT器件制造，投标人在投标文件中提供IGBT的制造商、规格型号等各项技术指标以及IGBT的工作频率。</w:t>
      </w:r>
    </w:p>
    <w:p w14:paraId="0D349588">
      <w:pPr>
        <w:pStyle w:val="75"/>
        <w:keepNext w:val="0"/>
        <w:keepLines w:val="0"/>
        <w:pageBreakBefore w:val="0"/>
        <w:widowControl w:val="0"/>
        <w:kinsoku/>
        <w:wordWrap/>
        <w:topLinePunct w:val="0"/>
        <w:bidi w:val="0"/>
        <w:spacing w:line="385"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31.</w:t>
      </w:r>
      <w:r>
        <w:rPr>
          <w:rFonts w:hint="eastAsia" w:ascii="宋体" w:hAnsi="宋体" w:eastAsia="宋体" w:cs="宋体"/>
          <w:sz w:val="24"/>
          <w:szCs w:val="24"/>
          <w:highlight w:val="none"/>
        </w:rPr>
        <w:t>电流互感器符合IEC标准和GB1208-1997。</w:t>
      </w:r>
    </w:p>
    <w:p w14:paraId="3DC0FC7E">
      <w:pPr>
        <w:pStyle w:val="76"/>
        <w:keepNext w:val="0"/>
        <w:keepLines w:val="0"/>
        <w:pageBreakBefore w:val="0"/>
        <w:widowControl w:val="0"/>
        <w:kinsoku/>
        <w:wordWrap/>
        <w:topLinePunct w:val="0"/>
        <w:bidi w:val="0"/>
        <w:spacing w:line="385"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32.</w:t>
      </w:r>
      <w:r>
        <w:rPr>
          <w:rFonts w:hint="eastAsia" w:ascii="宋体" w:hAnsi="宋体" w:eastAsia="宋体" w:cs="宋体"/>
          <w:sz w:val="24"/>
          <w:szCs w:val="24"/>
          <w:highlight w:val="none"/>
        </w:rPr>
        <w:t>柜体应设总接地线，其材料用铜。</w:t>
      </w:r>
    </w:p>
    <w:p w14:paraId="2A7CAEC7">
      <w:pPr>
        <w:pStyle w:val="76"/>
        <w:keepNext w:val="0"/>
        <w:keepLines w:val="0"/>
        <w:pageBreakBefore w:val="0"/>
        <w:widowControl w:val="0"/>
        <w:kinsoku/>
        <w:wordWrap/>
        <w:topLinePunct w:val="0"/>
        <w:bidi w:val="0"/>
        <w:spacing w:line="385"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33.</w:t>
      </w:r>
      <w:r>
        <w:rPr>
          <w:rFonts w:hint="eastAsia" w:ascii="宋体" w:hAnsi="宋体" w:eastAsia="宋体" w:cs="宋体"/>
          <w:sz w:val="24"/>
          <w:szCs w:val="24"/>
          <w:highlight w:val="none"/>
        </w:rPr>
        <w:t>控制回路、CT的二次回路采用690V耐热的RVVSP屏蔽双绞线，导线截面积大于2.5mm</w:t>
      </w:r>
      <w:r>
        <w:rPr>
          <w:rFonts w:hint="eastAsia" w:ascii="宋体" w:hAnsi="宋体" w:eastAsia="宋体" w:cs="宋体"/>
          <w:sz w:val="24"/>
          <w:szCs w:val="24"/>
          <w:highlight w:val="none"/>
          <w:vertAlign w:val="superscript"/>
        </w:rPr>
        <w:t>2</w:t>
      </w:r>
      <w:r>
        <w:rPr>
          <w:rFonts w:hint="eastAsia" w:ascii="宋体" w:hAnsi="宋体" w:eastAsia="宋体" w:cs="宋体"/>
          <w:sz w:val="24"/>
          <w:szCs w:val="24"/>
          <w:highlight w:val="none"/>
        </w:rPr>
        <w:t>，端子排与电缆（电缆芯为硬铜质）的压接方式保证与电缆连接的永久性和可靠性。</w:t>
      </w:r>
    </w:p>
    <w:p w14:paraId="2C335C83">
      <w:pPr>
        <w:pStyle w:val="76"/>
        <w:keepNext w:val="0"/>
        <w:keepLines w:val="0"/>
        <w:pageBreakBefore w:val="0"/>
        <w:widowControl w:val="0"/>
        <w:kinsoku/>
        <w:wordWrap/>
        <w:topLinePunct w:val="0"/>
        <w:bidi w:val="0"/>
        <w:spacing w:line="385"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34.</w:t>
      </w:r>
      <w:r>
        <w:rPr>
          <w:rFonts w:hint="eastAsia" w:ascii="宋体" w:hAnsi="宋体" w:eastAsia="宋体" w:cs="宋体"/>
          <w:sz w:val="24"/>
          <w:szCs w:val="24"/>
          <w:highlight w:val="none"/>
        </w:rPr>
        <w:t xml:space="preserve">对CT要求：精度不低于0.5.二次电流为5A的普通CT，支持采用闭环控制以提高精度和便于安装。 </w:t>
      </w:r>
    </w:p>
    <w:p w14:paraId="2287109F">
      <w:pPr>
        <w:pStyle w:val="76"/>
        <w:keepNext w:val="0"/>
        <w:keepLines w:val="0"/>
        <w:pageBreakBefore w:val="0"/>
        <w:widowControl w:val="0"/>
        <w:kinsoku/>
        <w:wordWrap/>
        <w:topLinePunct w:val="0"/>
        <w:bidi w:val="0"/>
        <w:spacing w:line="385" w:lineRule="exact"/>
        <w:ind w:firstLine="480" w:firstLineChars="200"/>
        <w:textAlignment w:val="auto"/>
        <w:rPr>
          <w:rFonts w:hint="eastAsia" w:ascii="宋体" w:hAnsi="宋体" w:eastAsia="宋体" w:cs="宋体"/>
          <w:color w:val="000000"/>
          <w:sz w:val="24"/>
          <w:szCs w:val="24"/>
          <w:highlight w:val="none"/>
        </w:rPr>
      </w:pPr>
      <w:r>
        <w:rPr>
          <w:rFonts w:hint="eastAsia" w:ascii="宋体" w:hAnsi="宋体" w:eastAsia="宋体" w:cs="宋体"/>
          <w:sz w:val="24"/>
          <w:szCs w:val="24"/>
          <w:highlight w:val="none"/>
          <w:lang w:val="en-US" w:eastAsia="zh-CN"/>
        </w:rPr>
        <w:t>35.</w:t>
      </w:r>
      <w:r>
        <w:rPr>
          <w:rFonts w:hint="eastAsia" w:ascii="宋体" w:hAnsi="宋体" w:eastAsia="宋体" w:cs="宋体"/>
          <w:color w:val="000000"/>
          <w:sz w:val="24"/>
          <w:szCs w:val="24"/>
          <w:highlight w:val="none"/>
        </w:rPr>
        <w:t>塑壳式断路器包括塑料外壳、操作机构、触头系统、灭弧系统和过电流脱扣器等。</w:t>
      </w:r>
    </w:p>
    <w:p w14:paraId="56A4D2DF">
      <w:pPr>
        <w:keepNext w:val="0"/>
        <w:keepLines w:val="0"/>
        <w:pageBreakBefore w:val="0"/>
        <w:widowControl w:val="0"/>
        <w:kinsoku/>
        <w:wordWrap/>
        <w:topLinePunct w:val="0"/>
        <w:bidi w:val="0"/>
        <w:spacing w:line="385" w:lineRule="exact"/>
        <w:ind w:firstLine="480" w:firstLineChars="200"/>
        <w:textAlignment w:val="auto"/>
        <w:rPr>
          <w:rFonts w:hint="eastAsia" w:ascii="宋体" w:hAnsi="宋体" w:eastAsia="宋体" w:cs="宋体"/>
          <w:color w:val="000000"/>
          <w:sz w:val="24"/>
          <w:szCs w:val="24"/>
          <w:highlight w:val="none"/>
        </w:rPr>
      </w:pPr>
      <w:r>
        <w:rPr>
          <w:rFonts w:hint="eastAsia" w:ascii="宋体" w:hAnsi="宋体" w:eastAsia="宋体" w:cs="宋体"/>
          <w:sz w:val="24"/>
          <w:szCs w:val="24"/>
          <w:highlight w:val="none"/>
          <w:lang w:val="en-US" w:eastAsia="zh-CN"/>
        </w:rPr>
        <w:t>36.</w:t>
      </w:r>
      <w:r>
        <w:rPr>
          <w:rFonts w:hint="eastAsia" w:ascii="宋体" w:hAnsi="宋体" w:eastAsia="宋体" w:cs="宋体"/>
          <w:color w:val="000000"/>
          <w:sz w:val="24"/>
          <w:szCs w:val="24"/>
          <w:highlight w:val="none"/>
        </w:rPr>
        <w:t>快速熔断器满足设定的额定电流值和控制柜的总额定值。</w:t>
      </w:r>
    </w:p>
    <w:p w14:paraId="385FF558">
      <w:pPr>
        <w:pStyle w:val="76"/>
        <w:keepNext w:val="0"/>
        <w:keepLines w:val="0"/>
        <w:pageBreakBefore w:val="0"/>
        <w:widowControl w:val="0"/>
        <w:kinsoku/>
        <w:wordWrap/>
        <w:topLinePunct w:val="0"/>
        <w:bidi w:val="0"/>
        <w:spacing w:line="385"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37.</w:t>
      </w:r>
      <w:r>
        <w:rPr>
          <w:rFonts w:hint="eastAsia" w:ascii="宋体" w:hAnsi="宋体" w:eastAsia="宋体" w:cs="宋体"/>
          <w:sz w:val="24"/>
          <w:szCs w:val="24"/>
          <w:highlight w:val="none"/>
        </w:rPr>
        <w:t>有源滤波器的平均无故障工作时间不少于10年，质保期为12个月，在质保期内成套设备中任何部分属于质量问题而损坏的，投标人均应免费修理及更换。</w:t>
      </w:r>
    </w:p>
    <w:p w14:paraId="7E43465A">
      <w:pPr>
        <w:pStyle w:val="76"/>
        <w:keepNext w:val="0"/>
        <w:keepLines w:val="0"/>
        <w:pageBreakBefore w:val="0"/>
        <w:widowControl w:val="0"/>
        <w:kinsoku/>
        <w:wordWrap/>
        <w:topLinePunct w:val="0"/>
        <w:bidi w:val="0"/>
        <w:spacing w:line="385"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38.</w:t>
      </w:r>
      <w:r>
        <w:rPr>
          <w:rFonts w:hint="eastAsia" w:ascii="宋体" w:hAnsi="宋体" w:eastAsia="宋体" w:cs="宋体"/>
          <w:sz w:val="24"/>
          <w:szCs w:val="24"/>
          <w:highlight w:val="none"/>
        </w:rPr>
        <w:t>拥有国家认证机构提供的型式试验报告或者国际认证。</w:t>
      </w:r>
    </w:p>
    <w:p w14:paraId="5ED9CC59">
      <w:pPr>
        <w:pStyle w:val="76"/>
        <w:keepNext w:val="0"/>
        <w:keepLines w:val="0"/>
        <w:pageBreakBefore w:val="0"/>
        <w:widowControl w:val="0"/>
        <w:kinsoku/>
        <w:wordWrap/>
        <w:topLinePunct w:val="0"/>
        <w:bidi w:val="0"/>
        <w:spacing w:line="385"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39.</w:t>
      </w:r>
      <w:r>
        <w:rPr>
          <w:rFonts w:hint="eastAsia" w:ascii="宋体" w:hAnsi="宋体" w:eastAsia="宋体" w:cs="宋体"/>
          <w:sz w:val="24"/>
          <w:szCs w:val="24"/>
          <w:highlight w:val="none"/>
        </w:rPr>
        <w:t>具有谐波滤除效果监测、对比功能。</w:t>
      </w:r>
    </w:p>
    <w:p w14:paraId="75794FCF">
      <w:pPr>
        <w:pStyle w:val="76"/>
        <w:keepNext w:val="0"/>
        <w:keepLines w:val="0"/>
        <w:pageBreakBefore w:val="0"/>
        <w:widowControl w:val="0"/>
        <w:kinsoku/>
        <w:wordWrap/>
        <w:topLinePunct w:val="0"/>
        <w:bidi w:val="0"/>
        <w:spacing w:line="385"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40.</w:t>
      </w:r>
      <w:r>
        <w:rPr>
          <w:rFonts w:hint="eastAsia" w:ascii="宋体" w:hAnsi="宋体" w:eastAsia="宋体" w:cs="宋体"/>
          <w:sz w:val="24"/>
          <w:szCs w:val="24"/>
          <w:highlight w:val="none"/>
        </w:rPr>
        <w:t>监测数据能够通过4G/5G远程传输数据库，并通过数据库将治理前后数据在手机APP端和电能PC端进线展示、对比、分析；出具电能质量月报表。</w:t>
      </w:r>
    </w:p>
    <w:p w14:paraId="7F27B8CE">
      <w:pPr>
        <w:pStyle w:val="76"/>
        <w:keepNext w:val="0"/>
        <w:keepLines w:val="0"/>
        <w:pageBreakBefore w:val="0"/>
        <w:widowControl w:val="0"/>
        <w:kinsoku/>
        <w:wordWrap/>
        <w:topLinePunct w:val="0"/>
        <w:bidi w:val="0"/>
        <w:spacing w:line="385"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41.</w:t>
      </w:r>
      <w:r>
        <w:rPr>
          <w:rFonts w:hint="eastAsia" w:ascii="宋体" w:hAnsi="宋体" w:eastAsia="宋体" w:cs="宋体"/>
          <w:sz w:val="24"/>
          <w:szCs w:val="24"/>
          <w:highlight w:val="none"/>
        </w:rPr>
        <w:t>治理后需委托有CMA/CNAS资质第三方进行10kV总进线电能质量测试，测试报告需供电局认可。</w:t>
      </w:r>
      <w:bookmarkStart w:id="23" w:name="_GoBack"/>
      <w:bookmarkEnd w:id="23"/>
    </w:p>
    <w:p w14:paraId="4121432F">
      <w:pPr>
        <w:keepNext w:val="0"/>
        <w:keepLines w:val="0"/>
        <w:pageBreakBefore w:val="0"/>
        <w:widowControl w:val="0"/>
        <w:kinsoku/>
        <w:wordWrap/>
        <w:topLinePunct w:val="0"/>
        <w:bidi w:val="0"/>
        <w:spacing w:line="385" w:lineRule="exact"/>
        <w:jc w:val="center"/>
        <w:textAlignment w:val="auto"/>
        <w:rPr>
          <w:rFonts w:asciiTheme="minorEastAsia" w:hAnsiTheme="minorEastAsia" w:eastAsiaTheme="minorEastAsia" w:cstheme="minorEastAsia"/>
          <w:b/>
          <w:bCs/>
          <w:color w:val="0D0D0D" w:themeColor="text1" w:themeTint="F2"/>
          <w:sz w:val="28"/>
          <w:szCs w:val="28"/>
          <w:highlight w:val="none"/>
          <w14:textFill>
            <w14:solidFill>
              <w14:schemeClr w14:val="tx1">
                <w14:lumMod w14:val="95000"/>
                <w14:lumOff w14:val="5000"/>
              </w14:schemeClr>
            </w14:solidFill>
          </w14:textFill>
        </w:rPr>
      </w:pPr>
    </w:p>
    <w:p w14:paraId="71DE6C24">
      <w:pPr>
        <w:pStyle w:val="11"/>
        <w:keepNext w:val="0"/>
        <w:keepLines w:val="0"/>
        <w:pageBreakBefore w:val="0"/>
        <w:widowControl w:val="0"/>
        <w:kinsoku/>
        <w:wordWrap/>
        <w:topLinePunct w:val="0"/>
        <w:bidi w:val="0"/>
        <w:spacing w:line="385" w:lineRule="exact"/>
        <w:textAlignment w:val="auto"/>
        <w:rPr>
          <w:rFonts w:hint="default" w:cs="仿宋" w:asciiTheme="minorEastAsia" w:hAnsiTheme="minorEastAsia" w:eastAsiaTheme="minorEastAsia"/>
          <w:b/>
          <w:bCs/>
          <w:color w:val="auto"/>
          <w:kern w:val="2"/>
          <w:szCs w:val="32"/>
          <w:highlight w:val="none"/>
        </w:rPr>
      </w:pPr>
    </w:p>
    <w:sectPr>
      <w:pgSz w:w="11906" w:h="16838"/>
      <w:pgMar w:top="1440" w:right="1440" w:bottom="1440" w:left="144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191ABFE-1B83-45B7-B095-FF3AE24D240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77C8B676-1BD3-4506-BACA-3A0F59305CEA}"/>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embedRegular r:id="rId3" w:fontKey="{79616189-F567-4AFA-862C-220691D94747}"/>
  </w:font>
  <w:font w:name="等线">
    <w:panose1 w:val="02010600030101010101"/>
    <w:charset w:val="86"/>
    <w:family w:val="auto"/>
    <w:pitch w:val="default"/>
    <w:sig w:usb0="A00002BF" w:usb1="38CF7CFA" w:usb2="00000016" w:usb3="00000000" w:csb0="0004000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A35505">
    <w:pPr>
      <w:pStyle w:val="16"/>
      <w:jc w:val="both"/>
    </w:pPr>
  </w:p>
  <w:p w14:paraId="6606597B">
    <w:pPr>
      <w:pStyle w:val="16"/>
      <w:jc w:val="right"/>
      <w:rPr>
        <w:bdr w:val="single" w:color="auto" w:sz="4" w:space="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5818FC">
    <w:pPr>
      <w:pStyle w:val="16"/>
      <w:jc w:val="both"/>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EB650A8">
                          <w:pPr>
                            <w:pStyle w:val="16"/>
                            <w:jc w:val="center"/>
                          </w:pPr>
                          <w:r>
                            <w:fldChar w:fldCharType="begin"/>
                          </w:r>
                          <w:r>
                            <w:instrText xml:space="preserve"> PAGE   \* MERGEFORMAT </w:instrText>
                          </w:r>
                          <w:r>
                            <w:fldChar w:fldCharType="separate"/>
                          </w:r>
                          <w:r>
                            <w:rPr>
                              <w:lang w:val="zh-CN"/>
                            </w:rPr>
                            <w:t>33</w:t>
                          </w:r>
                          <w:r>
                            <w:rPr>
                              <w:lang w:val="zh-CN"/>
                            </w:rPr>
                            <w:fldChar w:fldCharType="end"/>
                          </w:r>
                        </w:p>
                      </w:txbxContent>
                    </wps:txbx>
                    <wps:bodyPr wrap="none" lIns="0" tIns="0" rIns="0" bIns="0" upright="0">
                      <a:spAutoFit/>
                    </wps:bodyPr>
                  </wps:wsp>
                </a:graphicData>
              </a:graphic>
            </wp:anchor>
          </w:drawing>
        </mc:Choice>
        <mc:Fallback>
          <w:pict>
            <v:shape id="文本框 4"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DtCjgyQEAAJkDAAAOAAAAAAAAAAEAIAAAAB4BAABkcnMvZTJvRG9j&#10;LnhtbFBLBQYAAAAABgAGAFkBAABZBQAAAAA=&#10;">
              <v:fill on="f" focussize="0,0"/>
              <v:stroke on="f"/>
              <v:imagedata o:title=""/>
              <o:lock v:ext="edit" aspectratio="f"/>
              <v:textbox inset="0mm,0mm,0mm,0mm" style="mso-fit-shape-to-text:t;">
                <w:txbxContent>
                  <w:p w14:paraId="2EB650A8">
                    <w:pPr>
                      <w:pStyle w:val="16"/>
                      <w:jc w:val="center"/>
                    </w:pPr>
                    <w:r>
                      <w:fldChar w:fldCharType="begin"/>
                    </w:r>
                    <w:r>
                      <w:instrText xml:space="preserve"> PAGE   \* MERGEFORMAT </w:instrText>
                    </w:r>
                    <w:r>
                      <w:fldChar w:fldCharType="separate"/>
                    </w:r>
                    <w:r>
                      <w:rPr>
                        <w:lang w:val="zh-CN"/>
                      </w:rPr>
                      <w:t>33</w:t>
                    </w:r>
                    <w:r>
                      <w:rPr>
                        <w:lang w:val="zh-CN"/>
                      </w:rPr>
                      <w:fldChar w:fldCharType="end"/>
                    </w:r>
                  </w:p>
                </w:txbxContent>
              </v:textbox>
            </v:shape>
          </w:pict>
        </mc:Fallback>
      </mc:AlternateContent>
    </w:r>
  </w:p>
  <w:p w14:paraId="2E33013B">
    <w:pPr>
      <w:pStyle w:val="16"/>
      <w:jc w:val="right"/>
      <w:rPr>
        <w:bdr w:val="single" w:color="auto" w:sz="4" w:space="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0CE0F9">
    <w:pPr>
      <w:pStyle w:val="16"/>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14:paraId="2825667E">
                          <w:pPr>
                            <w:pStyle w:val="16"/>
                            <w:jc w:val="center"/>
                          </w:pPr>
                          <w:r>
                            <w:fldChar w:fldCharType="begin"/>
                          </w:r>
                          <w:r>
                            <w:instrText xml:space="preserve"> PAGE   \* MERGEFORMAT </w:instrText>
                          </w:r>
                          <w:r>
                            <w:fldChar w:fldCharType="separate"/>
                          </w:r>
                          <w:r>
                            <w:rPr>
                              <w:lang w:val="zh-CN"/>
                            </w:rPr>
                            <w:t>35</w:t>
                          </w:r>
                          <w:r>
                            <w:fldChar w:fldCharType="end"/>
                          </w:r>
                        </w:p>
                      </w:txbxContent>
                    </wps:txbx>
                    <wps:bodyPr vert="horz" wrap="none" lIns="0" tIns="0" rIns="0" bIns="0" anchor="t" anchorCtr="0" upright="0">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zql5uc8AAAAFAQAADwAA&#10;AAAAAAABACAAAAAiAAAAZHJzL2Rvd25yZXYueG1sUEsBAhQAFAAAAAgAh07iQHNY36HmAQAAxwMA&#10;AA4AAAAAAAAAAQAgAAAAHgEAAGRycy9lMm9Eb2MueG1sUEsFBgAAAAAGAAYAWQEAAHYFAAAAAA==&#10;">
              <v:fill on="f" focussize="0,0"/>
              <v:stroke on="f"/>
              <v:imagedata o:title=""/>
              <o:lock v:ext="edit" aspectratio="f"/>
              <v:textbox inset="0mm,0mm,0mm,0mm" style="mso-fit-shape-to-text:t;">
                <w:txbxContent>
                  <w:p w14:paraId="2825667E">
                    <w:pPr>
                      <w:pStyle w:val="16"/>
                      <w:jc w:val="center"/>
                    </w:pPr>
                    <w:r>
                      <w:fldChar w:fldCharType="begin"/>
                    </w:r>
                    <w:r>
                      <w:instrText xml:space="preserve"> PAGE   \* MERGEFORMAT </w:instrText>
                    </w:r>
                    <w:r>
                      <w:fldChar w:fldCharType="separate"/>
                    </w:r>
                    <w:r>
                      <w:rPr>
                        <w:lang w:val="zh-CN"/>
                      </w:rPr>
                      <w:t>35</w:t>
                    </w:r>
                    <w:r>
                      <w:fldChar w:fldCharType="end"/>
                    </w:r>
                  </w:p>
                </w:txbxContent>
              </v:textbox>
            </v:shape>
          </w:pict>
        </mc:Fallback>
      </mc:AlternateContent>
    </w:r>
  </w:p>
  <w:p w14:paraId="47461182">
    <w:pPr>
      <w:pStyle w:val="16"/>
      <w:jc w:val="right"/>
      <w:rPr>
        <w:bdr w:val="single" w:color="auto" w:sz="4" w:space="0"/>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C0300D">
    <w:pPr>
      <w:pStyle w:val="16"/>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14:paraId="2DAF3FA4">
                          <w:pPr>
                            <w:pStyle w:val="16"/>
                            <w:jc w:val="center"/>
                          </w:pPr>
                          <w:r>
                            <w:fldChar w:fldCharType="begin"/>
                          </w:r>
                          <w:r>
                            <w:instrText xml:space="preserve"> PAGE   \* MERGEFORMAT </w:instrText>
                          </w:r>
                          <w:r>
                            <w:fldChar w:fldCharType="separate"/>
                          </w:r>
                          <w:r>
                            <w:rPr>
                              <w:lang w:val="zh-CN"/>
                            </w:rPr>
                            <w:t>37</w:t>
                          </w:r>
                          <w:r>
                            <w:rPr>
                              <w:lang w:val="zh-CN"/>
                            </w:rPr>
                            <w:fldChar w:fldCharType="end"/>
                          </w:r>
                        </w:p>
                      </w:txbxContent>
                    </wps:txbx>
                    <wps:bodyPr vert="horz" wrap="none" lIns="0" tIns="0" rIns="0" bIns="0" anchor="t" anchorCtr="0" upright="0">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M6pebnPAAAABQEAAA8A&#10;AAAAAAAAAQAgAAAAIgAAAGRycy9kb3ducmV2LnhtbFBLAQIUABQAAAAIAIdO4kDS/LYV5wEAAMcD&#10;AAAOAAAAAAAAAAEAIAAAAB4BAABkcnMvZTJvRG9jLnhtbFBLBQYAAAAABgAGAFkBAAB3BQAAAAA=&#10;">
              <v:fill on="f" focussize="0,0"/>
              <v:stroke on="f"/>
              <v:imagedata o:title=""/>
              <o:lock v:ext="edit" aspectratio="f"/>
              <v:textbox inset="0mm,0mm,0mm,0mm" style="mso-fit-shape-to-text:t;">
                <w:txbxContent>
                  <w:p w14:paraId="2DAF3FA4">
                    <w:pPr>
                      <w:pStyle w:val="16"/>
                      <w:jc w:val="center"/>
                    </w:pPr>
                    <w:r>
                      <w:fldChar w:fldCharType="begin"/>
                    </w:r>
                    <w:r>
                      <w:instrText xml:space="preserve"> PAGE   \* MERGEFORMAT </w:instrText>
                    </w:r>
                    <w:r>
                      <w:fldChar w:fldCharType="separate"/>
                    </w:r>
                    <w:r>
                      <w:rPr>
                        <w:lang w:val="zh-CN"/>
                      </w:rPr>
                      <w:t>37</w:t>
                    </w:r>
                    <w:r>
                      <w:rPr>
                        <w:lang w:val="zh-CN"/>
                      </w:rPr>
                      <w:fldChar w:fldCharType="end"/>
                    </w:r>
                  </w:p>
                </w:txbxContent>
              </v:textbox>
            </v:shape>
          </w:pict>
        </mc:Fallback>
      </mc:AlternateContent>
    </w:r>
  </w:p>
  <w:p w14:paraId="4093C016">
    <w:pPr>
      <w:pStyle w:val="16"/>
      <w:jc w:val="right"/>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4EF120C"/>
    <w:multiLevelType w:val="singleLevel"/>
    <w:tmpl w:val="B4EF120C"/>
    <w:lvl w:ilvl="0" w:tentative="0">
      <w:start w:val="2"/>
      <w:numFmt w:val="decimal"/>
      <w:suff w:val="nothing"/>
      <w:lvlText w:val="%1、"/>
      <w:lvlJc w:val="left"/>
    </w:lvl>
  </w:abstractNum>
  <w:abstractNum w:abstractNumId="1">
    <w:nsid w:val="00000001"/>
    <w:multiLevelType w:val="multilevel"/>
    <w:tmpl w:val="00000001"/>
    <w:lvl w:ilvl="0" w:tentative="0">
      <w:start w:val="1"/>
      <w:numFmt w:val="decimal"/>
      <w:pStyle w:val="65"/>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oNotHyphenateCaps/>
  <w:drawingGridHorizontalSpacing w:val="105"/>
  <w:drawingGridVerticalSpacing w:val="156"/>
  <w:noPunctuationKerning w:val="1"/>
  <w:characterSpacingControl w:val="compressPunctuation"/>
  <w:noLineBreaksAfter w:lang="zh-CN" w:val="$([{£¥·‘“〈《「『【〔〖〝﹙﹛﹝＄（．［｛￡￥"/>
  <w:noLineBreaksBefore w:lang="zh-CN" w:val="!%),.:;&gt;?]}¢¨°·ˇˉ―‖’”…‰′″›℃∶、。〃〉》」』】〕〗〞︶︺︾﹀﹄﹚﹜﹞！＂％＇），．：；？］｀｜｝～￠"/>
  <w:doNotValidateAgainstSchema/>
  <w:doNotDemarcateInvalidXml/>
  <w:compat>
    <w:spaceForUL/>
    <w:balanceSingleByteDoubleByteWidth/>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NiMmFlYjAzOGFkN2ViOTliZTYyYmViOWQ1NWVlNzkifQ=="/>
  </w:docVars>
  <w:rsids>
    <w:rsidRoot w:val="001D7491"/>
    <w:rsid w:val="000008CD"/>
    <w:rsid w:val="00000CD6"/>
    <w:rsid w:val="00000D34"/>
    <w:rsid w:val="000013E5"/>
    <w:rsid w:val="0000175C"/>
    <w:rsid w:val="00001D0F"/>
    <w:rsid w:val="00002A1D"/>
    <w:rsid w:val="00002B2A"/>
    <w:rsid w:val="00002E4A"/>
    <w:rsid w:val="00003A13"/>
    <w:rsid w:val="00003A8A"/>
    <w:rsid w:val="00003BBF"/>
    <w:rsid w:val="0000422B"/>
    <w:rsid w:val="00004888"/>
    <w:rsid w:val="00005383"/>
    <w:rsid w:val="0000673A"/>
    <w:rsid w:val="000068EB"/>
    <w:rsid w:val="00006BD8"/>
    <w:rsid w:val="00007632"/>
    <w:rsid w:val="000079E4"/>
    <w:rsid w:val="00007B04"/>
    <w:rsid w:val="00007B18"/>
    <w:rsid w:val="00010C98"/>
    <w:rsid w:val="00010E2A"/>
    <w:rsid w:val="00010EE2"/>
    <w:rsid w:val="00014048"/>
    <w:rsid w:val="00014224"/>
    <w:rsid w:val="00014B97"/>
    <w:rsid w:val="000154FC"/>
    <w:rsid w:val="00016452"/>
    <w:rsid w:val="00017BE3"/>
    <w:rsid w:val="0002052D"/>
    <w:rsid w:val="0002079F"/>
    <w:rsid w:val="0002094E"/>
    <w:rsid w:val="00020AE0"/>
    <w:rsid w:val="0002104C"/>
    <w:rsid w:val="00021147"/>
    <w:rsid w:val="000212E6"/>
    <w:rsid w:val="000214C4"/>
    <w:rsid w:val="00021746"/>
    <w:rsid w:val="000224C7"/>
    <w:rsid w:val="00022938"/>
    <w:rsid w:val="00022C93"/>
    <w:rsid w:val="00022FA4"/>
    <w:rsid w:val="000237F7"/>
    <w:rsid w:val="00023BF8"/>
    <w:rsid w:val="00024935"/>
    <w:rsid w:val="000269FB"/>
    <w:rsid w:val="00026F4C"/>
    <w:rsid w:val="000271C3"/>
    <w:rsid w:val="0003018B"/>
    <w:rsid w:val="000305DE"/>
    <w:rsid w:val="00030BF4"/>
    <w:rsid w:val="0003137F"/>
    <w:rsid w:val="00031729"/>
    <w:rsid w:val="00031959"/>
    <w:rsid w:val="000319C7"/>
    <w:rsid w:val="00032DF9"/>
    <w:rsid w:val="00033E8E"/>
    <w:rsid w:val="00034950"/>
    <w:rsid w:val="00035655"/>
    <w:rsid w:val="000364EA"/>
    <w:rsid w:val="000365BC"/>
    <w:rsid w:val="000370DF"/>
    <w:rsid w:val="0003796A"/>
    <w:rsid w:val="00037CAA"/>
    <w:rsid w:val="0004006F"/>
    <w:rsid w:val="0004036B"/>
    <w:rsid w:val="0004068D"/>
    <w:rsid w:val="00040F70"/>
    <w:rsid w:val="0004106B"/>
    <w:rsid w:val="00041326"/>
    <w:rsid w:val="00043A9B"/>
    <w:rsid w:val="00043E69"/>
    <w:rsid w:val="0004461D"/>
    <w:rsid w:val="00045093"/>
    <w:rsid w:val="00045700"/>
    <w:rsid w:val="00045FE6"/>
    <w:rsid w:val="000464AA"/>
    <w:rsid w:val="00046B24"/>
    <w:rsid w:val="00046E4F"/>
    <w:rsid w:val="000474EC"/>
    <w:rsid w:val="00047CCA"/>
    <w:rsid w:val="00047D2D"/>
    <w:rsid w:val="0005032D"/>
    <w:rsid w:val="000518FD"/>
    <w:rsid w:val="00051F1B"/>
    <w:rsid w:val="0005241F"/>
    <w:rsid w:val="00052711"/>
    <w:rsid w:val="00052A18"/>
    <w:rsid w:val="000532E7"/>
    <w:rsid w:val="00053F53"/>
    <w:rsid w:val="00054122"/>
    <w:rsid w:val="000545C6"/>
    <w:rsid w:val="00055DD9"/>
    <w:rsid w:val="000561B6"/>
    <w:rsid w:val="00056479"/>
    <w:rsid w:val="000568DA"/>
    <w:rsid w:val="00056D34"/>
    <w:rsid w:val="00056DA3"/>
    <w:rsid w:val="00056FA0"/>
    <w:rsid w:val="000573FD"/>
    <w:rsid w:val="00057517"/>
    <w:rsid w:val="00060A0D"/>
    <w:rsid w:val="000615ED"/>
    <w:rsid w:val="00061B6D"/>
    <w:rsid w:val="00062170"/>
    <w:rsid w:val="000623BC"/>
    <w:rsid w:val="0006295D"/>
    <w:rsid w:val="000630E5"/>
    <w:rsid w:val="0006371D"/>
    <w:rsid w:val="00063CFF"/>
    <w:rsid w:val="000641F5"/>
    <w:rsid w:val="000649EE"/>
    <w:rsid w:val="00064D62"/>
    <w:rsid w:val="0006522F"/>
    <w:rsid w:val="00065690"/>
    <w:rsid w:val="00065A53"/>
    <w:rsid w:val="000661A1"/>
    <w:rsid w:val="00066E52"/>
    <w:rsid w:val="00067108"/>
    <w:rsid w:val="000675BA"/>
    <w:rsid w:val="00067605"/>
    <w:rsid w:val="0006771F"/>
    <w:rsid w:val="000705C8"/>
    <w:rsid w:val="000706CC"/>
    <w:rsid w:val="00070D8D"/>
    <w:rsid w:val="00070FCC"/>
    <w:rsid w:val="000720E0"/>
    <w:rsid w:val="00072CB2"/>
    <w:rsid w:val="00073129"/>
    <w:rsid w:val="000739A8"/>
    <w:rsid w:val="00073A3A"/>
    <w:rsid w:val="000748A6"/>
    <w:rsid w:val="00074AD5"/>
    <w:rsid w:val="00074FC6"/>
    <w:rsid w:val="00075507"/>
    <w:rsid w:val="00075A53"/>
    <w:rsid w:val="000763E9"/>
    <w:rsid w:val="00077360"/>
    <w:rsid w:val="0007778C"/>
    <w:rsid w:val="00077942"/>
    <w:rsid w:val="00077E23"/>
    <w:rsid w:val="0008023A"/>
    <w:rsid w:val="00080BB2"/>
    <w:rsid w:val="00081B89"/>
    <w:rsid w:val="00082F2D"/>
    <w:rsid w:val="00083057"/>
    <w:rsid w:val="000832B0"/>
    <w:rsid w:val="00083647"/>
    <w:rsid w:val="00083767"/>
    <w:rsid w:val="00083A11"/>
    <w:rsid w:val="00083A66"/>
    <w:rsid w:val="00083C89"/>
    <w:rsid w:val="00084332"/>
    <w:rsid w:val="00084438"/>
    <w:rsid w:val="00084945"/>
    <w:rsid w:val="00084946"/>
    <w:rsid w:val="0008562F"/>
    <w:rsid w:val="00086499"/>
    <w:rsid w:val="0008694E"/>
    <w:rsid w:val="00086D0C"/>
    <w:rsid w:val="00086E7E"/>
    <w:rsid w:val="00087144"/>
    <w:rsid w:val="00087348"/>
    <w:rsid w:val="0008758E"/>
    <w:rsid w:val="0009060A"/>
    <w:rsid w:val="0009092C"/>
    <w:rsid w:val="00090F73"/>
    <w:rsid w:val="00091AF3"/>
    <w:rsid w:val="00091BE4"/>
    <w:rsid w:val="000939E2"/>
    <w:rsid w:val="0009428F"/>
    <w:rsid w:val="000948E1"/>
    <w:rsid w:val="00095043"/>
    <w:rsid w:val="0009532B"/>
    <w:rsid w:val="000954F1"/>
    <w:rsid w:val="000968E5"/>
    <w:rsid w:val="00096F7B"/>
    <w:rsid w:val="00097B78"/>
    <w:rsid w:val="00097E8C"/>
    <w:rsid w:val="00097F0C"/>
    <w:rsid w:val="000A01A9"/>
    <w:rsid w:val="000A0208"/>
    <w:rsid w:val="000A2050"/>
    <w:rsid w:val="000A20BB"/>
    <w:rsid w:val="000A29DA"/>
    <w:rsid w:val="000A30D1"/>
    <w:rsid w:val="000A3448"/>
    <w:rsid w:val="000A3A41"/>
    <w:rsid w:val="000A4C6E"/>
    <w:rsid w:val="000A4E81"/>
    <w:rsid w:val="000A5A82"/>
    <w:rsid w:val="000A5B80"/>
    <w:rsid w:val="000A625A"/>
    <w:rsid w:val="000A6EDD"/>
    <w:rsid w:val="000A7404"/>
    <w:rsid w:val="000B00A4"/>
    <w:rsid w:val="000B0B83"/>
    <w:rsid w:val="000B0F8C"/>
    <w:rsid w:val="000B2120"/>
    <w:rsid w:val="000B28BA"/>
    <w:rsid w:val="000B349E"/>
    <w:rsid w:val="000B5483"/>
    <w:rsid w:val="000B64FD"/>
    <w:rsid w:val="000B6C26"/>
    <w:rsid w:val="000B71E7"/>
    <w:rsid w:val="000B7312"/>
    <w:rsid w:val="000C0858"/>
    <w:rsid w:val="000C0943"/>
    <w:rsid w:val="000C1198"/>
    <w:rsid w:val="000C13F1"/>
    <w:rsid w:val="000C1BF4"/>
    <w:rsid w:val="000C1F8B"/>
    <w:rsid w:val="000C3363"/>
    <w:rsid w:val="000C3392"/>
    <w:rsid w:val="000C3DD6"/>
    <w:rsid w:val="000C4405"/>
    <w:rsid w:val="000C4A3E"/>
    <w:rsid w:val="000C4B70"/>
    <w:rsid w:val="000C5CBA"/>
    <w:rsid w:val="000C5E0E"/>
    <w:rsid w:val="000C5E58"/>
    <w:rsid w:val="000C64AF"/>
    <w:rsid w:val="000C6EEC"/>
    <w:rsid w:val="000C6FA1"/>
    <w:rsid w:val="000C6FDF"/>
    <w:rsid w:val="000C7A73"/>
    <w:rsid w:val="000C7C67"/>
    <w:rsid w:val="000D11A7"/>
    <w:rsid w:val="000D230C"/>
    <w:rsid w:val="000D28F1"/>
    <w:rsid w:val="000D2A11"/>
    <w:rsid w:val="000D4138"/>
    <w:rsid w:val="000D444C"/>
    <w:rsid w:val="000D4E55"/>
    <w:rsid w:val="000D506C"/>
    <w:rsid w:val="000D7408"/>
    <w:rsid w:val="000D74EB"/>
    <w:rsid w:val="000D764A"/>
    <w:rsid w:val="000E05F4"/>
    <w:rsid w:val="000E0E5D"/>
    <w:rsid w:val="000E14A4"/>
    <w:rsid w:val="000E1EB6"/>
    <w:rsid w:val="000E3383"/>
    <w:rsid w:val="000E363D"/>
    <w:rsid w:val="000E371F"/>
    <w:rsid w:val="000E384A"/>
    <w:rsid w:val="000E3AC9"/>
    <w:rsid w:val="000E3B18"/>
    <w:rsid w:val="000E3D72"/>
    <w:rsid w:val="000E4023"/>
    <w:rsid w:val="000E4A90"/>
    <w:rsid w:val="000E53AA"/>
    <w:rsid w:val="000E5D43"/>
    <w:rsid w:val="000E7417"/>
    <w:rsid w:val="000E7937"/>
    <w:rsid w:val="000F039D"/>
    <w:rsid w:val="000F18AD"/>
    <w:rsid w:val="000F1CAA"/>
    <w:rsid w:val="000F21E0"/>
    <w:rsid w:val="000F2385"/>
    <w:rsid w:val="000F253B"/>
    <w:rsid w:val="000F2D5D"/>
    <w:rsid w:val="000F3093"/>
    <w:rsid w:val="000F328D"/>
    <w:rsid w:val="000F460E"/>
    <w:rsid w:val="000F52DF"/>
    <w:rsid w:val="000F54F3"/>
    <w:rsid w:val="000F5BBA"/>
    <w:rsid w:val="000F6E37"/>
    <w:rsid w:val="000F7A72"/>
    <w:rsid w:val="001015EB"/>
    <w:rsid w:val="00101842"/>
    <w:rsid w:val="00101AAC"/>
    <w:rsid w:val="00101F4A"/>
    <w:rsid w:val="00103CD3"/>
    <w:rsid w:val="00104A0F"/>
    <w:rsid w:val="001065AC"/>
    <w:rsid w:val="00106641"/>
    <w:rsid w:val="0010685D"/>
    <w:rsid w:val="00107D51"/>
    <w:rsid w:val="00107FA8"/>
    <w:rsid w:val="001106AD"/>
    <w:rsid w:val="001110F1"/>
    <w:rsid w:val="00112151"/>
    <w:rsid w:val="00113D59"/>
    <w:rsid w:val="00113E06"/>
    <w:rsid w:val="001144DE"/>
    <w:rsid w:val="001146B0"/>
    <w:rsid w:val="00114FC2"/>
    <w:rsid w:val="001155D4"/>
    <w:rsid w:val="00115A48"/>
    <w:rsid w:val="0011616A"/>
    <w:rsid w:val="0011635C"/>
    <w:rsid w:val="00116668"/>
    <w:rsid w:val="0011681F"/>
    <w:rsid w:val="0011767E"/>
    <w:rsid w:val="00121368"/>
    <w:rsid w:val="001214C5"/>
    <w:rsid w:val="001216A7"/>
    <w:rsid w:val="0012181B"/>
    <w:rsid w:val="00122262"/>
    <w:rsid w:val="001236BD"/>
    <w:rsid w:val="00123E99"/>
    <w:rsid w:val="00124214"/>
    <w:rsid w:val="00125361"/>
    <w:rsid w:val="00126C8D"/>
    <w:rsid w:val="00127360"/>
    <w:rsid w:val="001273C1"/>
    <w:rsid w:val="00127429"/>
    <w:rsid w:val="00127FD4"/>
    <w:rsid w:val="00130D89"/>
    <w:rsid w:val="001310DB"/>
    <w:rsid w:val="001313AF"/>
    <w:rsid w:val="00131599"/>
    <w:rsid w:val="00132BA0"/>
    <w:rsid w:val="00133B3A"/>
    <w:rsid w:val="00134A67"/>
    <w:rsid w:val="00134D8C"/>
    <w:rsid w:val="00135200"/>
    <w:rsid w:val="0013569F"/>
    <w:rsid w:val="001361EB"/>
    <w:rsid w:val="00136706"/>
    <w:rsid w:val="00136A12"/>
    <w:rsid w:val="00136A6E"/>
    <w:rsid w:val="00137429"/>
    <w:rsid w:val="00137711"/>
    <w:rsid w:val="0013795D"/>
    <w:rsid w:val="00137B91"/>
    <w:rsid w:val="00137FED"/>
    <w:rsid w:val="0014002B"/>
    <w:rsid w:val="00140318"/>
    <w:rsid w:val="0014062A"/>
    <w:rsid w:val="00140B29"/>
    <w:rsid w:val="0014120B"/>
    <w:rsid w:val="001419ED"/>
    <w:rsid w:val="00142077"/>
    <w:rsid w:val="00142189"/>
    <w:rsid w:val="001421B0"/>
    <w:rsid w:val="00143D92"/>
    <w:rsid w:val="00144014"/>
    <w:rsid w:val="001445A8"/>
    <w:rsid w:val="0014564B"/>
    <w:rsid w:val="00146C71"/>
    <w:rsid w:val="00147370"/>
    <w:rsid w:val="0014746A"/>
    <w:rsid w:val="001479C1"/>
    <w:rsid w:val="00150586"/>
    <w:rsid w:val="00150626"/>
    <w:rsid w:val="0015106B"/>
    <w:rsid w:val="0015165B"/>
    <w:rsid w:val="00151EFE"/>
    <w:rsid w:val="001526AA"/>
    <w:rsid w:val="00152B85"/>
    <w:rsid w:val="00152F95"/>
    <w:rsid w:val="00153618"/>
    <w:rsid w:val="001539A0"/>
    <w:rsid w:val="00153B9B"/>
    <w:rsid w:val="00153FA9"/>
    <w:rsid w:val="00154307"/>
    <w:rsid w:val="0015540F"/>
    <w:rsid w:val="00155F67"/>
    <w:rsid w:val="0015622A"/>
    <w:rsid w:val="00156387"/>
    <w:rsid w:val="00156C09"/>
    <w:rsid w:val="0015763F"/>
    <w:rsid w:val="00157F91"/>
    <w:rsid w:val="001602D0"/>
    <w:rsid w:val="00160997"/>
    <w:rsid w:val="00162ECD"/>
    <w:rsid w:val="001634F0"/>
    <w:rsid w:val="001640FF"/>
    <w:rsid w:val="00165482"/>
    <w:rsid w:val="001663B1"/>
    <w:rsid w:val="00166ADF"/>
    <w:rsid w:val="00167867"/>
    <w:rsid w:val="00167D82"/>
    <w:rsid w:val="00170640"/>
    <w:rsid w:val="00170985"/>
    <w:rsid w:val="00170B09"/>
    <w:rsid w:val="00170C80"/>
    <w:rsid w:val="00171353"/>
    <w:rsid w:val="001722C1"/>
    <w:rsid w:val="00173056"/>
    <w:rsid w:val="0017415D"/>
    <w:rsid w:val="00174712"/>
    <w:rsid w:val="0017496F"/>
    <w:rsid w:val="00174FA7"/>
    <w:rsid w:val="00175288"/>
    <w:rsid w:val="00176113"/>
    <w:rsid w:val="0017622E"/>
    <w:rsid w:val="00176476"/>
    <w:rsid w:val="00176AC2"/>
    <w:rsid w:val="00176BD8"/>
    <w:rsid w:val="00176FB9"/>
    <w:rsid w:val="00177C4B"/>
    <w:rsid w:val="00180384"/>
    <w:rsid w:val="001803F1"/>
    <w:rsid w:val="00181748"/>
    <w:rsid w:val="00181ECD"/>
    <w:rsid w:val="00181EFE"/>
    <w:rsid w:val="00182B1C"/>
    <w:rsid w:val="00182C2F"/>
    <w:rsid w:val="00185FE7"/>
    <w:rsid w:val="0018636A"/>
    <w:rsid w:val="00186669"/>
    <w:rsid w:val="00186732"/>
    <w:rsid w:val="00187627"/>
    <w:rsid w:val="00187A9A"/>
    <w:rsid w:val="001903F1"/>
    <w:rsid w:val="00190946"/>
    <w:rsid w:val="00190A2F"/>
    <w:rsid w:val="00190FD9"/>
    <w:rsid w:val="00191B7E"/>
    <w:rsid w:val="00192889"/>
    <w:rsid w:val="001928A6"/>
    <w:rsid w:val="001937C0"/>
    <w:rsid w:val="00193A91"/>
    <w:rsid w:val="00193DC5"/>
    <w:rsid w:val="00194366"/>
    <w:rsid w:val="00195C2D"/>
    <w:rsid w:val="00196318"/>
    <w:rsid w:val="001970CD"/>
    <w:rsid w:val="001A016A"/>
    <w:rsid w:val="001A034C"/>
    <w:rsid w:val="001A0670"/>
    <w:rsid w:val="001A0918"/>
    <w:rsid w:val="001A0A91"/>
    <w:rsid w:val="001A0ABE"/>
    <w:rsid w:val="001A1222"/>
    <w:rsid w:val="001A19CF"/>
    <w:rsid w:val="001A1A0C"/>
    <w:rsid w:val="001A226F"/>
    <w:rsid w:val="001A3259"/>
    <w:rsid w:val="001A4965"/>
    <w:rsid w:val="001A5753"/>
    <w:rsid w:val="001A5957"/>
    <w:rsid w:val="001A64A9"/>
    <w:rsid w:val="001A64B9"/>
    <w:rsid w:val="001A6552"/>
    <w:rsid w:val="001A7378"/>
    <w:rsid w:val="001A7833"/>
    <w:rsid w:val="001B148B"/>
    <w:rsid w:val="001B1738"/>
    <w:rsid w:val="001B27D5"/>
    <w:rsid w:val="001B4297"/>
    <w:rsid w:val="001B43EB"/>
    <w:rsid w:val="001B5072"/>
    <w:rsid w:val="001B53B9"/>
    <w:rsid w:val="001B5ECD"/>
    <w:rsid w:val="001B6340"/>
    <w:rsid w:val="001B635E"/>
    <w:rsid w:val="001B6557"/>
    <w:rsid w:val="001B6A2F"/>
    <w:rsid w:val="001B6A63"/>
    <w:rsid w:val="001B718A"/>
    <w:rsid w:val="001B7266"/>
    <w:rsid w:val="001B78D3"/>
    <w:rsid w:val="001C0606"/>
    <w:rsid w:val="001C0B8A"/>
    <w:rsid w:val="001C0D92"/>
    <w:rsid w:val="001C0DDF"/>
    <w:rsid w:val="001C1DE3"/>
    <w:rsid w:val="001C1E87"/>
    <w:rsid w:val="001C2D69"/>
    <w:rsid w:val="001C3046"/>
    <w:rsid w:val="001C3903"/>
    <w:rsid w:val="001C4146"/>
    <w:rsid w:val="001C5002"/>
    <w:rsid w:val="001C5013"/>
    <w:rsid w:val="001C505E"/>
    <w:rsid w:val="001C562F"/>
    <w:rsid w:val="001C5ACD"/>
    <w:rsid w:val="001C63E3"/>
    <w:rsid w:val="001C7589"/>
    <w:rsid w:val="001C7A2C"/>
    <w:rsid w:val="001D091A"/>
    <w:rsid w:val="001D0BB3"/>
    <w:rsid w:val="001D0E91"/>
    <w:rsid w:val="001D30EE"/>
    <w:rsid w:val="001D328F"/>
    <w:rsid w:val="001D35D4"/>
    <w:rsid w:val="001D42C0"/>
    <w:rsid w:val="001D4AAE"/>
    <w:rsid w:val="001D4F74"/>
    <w:rsid w:val="001D5664"/>
    <w:rsid w:val="001D5976"/>
    <w:rsid w:val="001D5C74"/>
    <w:rsid w:val="001D684B"/>
    <w:rsid w:val="001D6ADA"/>
    <w:rsid w:val="001D7491"/>
    <w:rsid w:val="001D7790"/>
    <w:rsid w:val="001D77D6"/>
    <w:rsid w:val="001D782F"/>
    <w:rsid w:val="001D7B1B"/>
    <w:rsid w:val="001D7C5C"/>
    <w:rsid w:val="001E0040"/>
    <w:rsid w:val="001E0800"/>
    <w:rsid w:val="001E0AC1"/>
    <w:rsid w:val="001E15D6"/>
    <w:rsid w:val="001E1B8D"/>
    <w:rsid w:val="001E2388"/>
    <w:rsid w:val="001E2776"/>
    <w:rsid w:val="001E2929"/>
    <w:rsid w:val="001E3D26"/>
    <w:rsid w:val="001E4F65"/>
    <w:rsid w:val="001E5182"/>
    <w:rsid w:val="001E5249"/>
    <w:rsid w:val="001E5FDD"/>
    <w:rsid w:val="001E6616"/>
    <w:rsid w:val="001E6690"/>
    <w:rsid w:val="001E6D1C"/>
    <w:rsid w:val="001E6D39"/>
    <w:rsid w:val="001E6DE1"/>
    <w:rsid w:val="001E7234"/>
    <w:rsid w:val="001E74F1"/>
    <w:rsid w:val="001E753C"/>
    <w:rsid w:val="001F055B"/>
    <w:rsid w:val="001F0A7B"/>
    <w:rsid w:val="001F0A8B"/>
    <w:rsid w:val="001F0ADE"/>
    <w:rsid w:val="001F0AFB"/>
    <w:rsid w:val="001F0F52"/>
    <w:rsid w:val="001F1E1C"/>
    <w:rsid w:val="001F364F"/>
    <w:rsid w:val="001F447E"/>
    <w:rsid w:val="001F575C"/>
    <w:rsid w:val="001F5820"/>
    <w:rsid w:val="001F58CA"/>
    <w:rsid w:val="001F610B"/>
    <w:rsid w:val="001F6F90"/>
    <w:rsid w:val="001F7031"/>
    <w:rsid w:val="001F7095"/>
    <w:rsid w:val="001F7589"/>
    <w:rsid w:val="00200293"/>
    <w:rsid w:val="002003D3"/>
    <w:rsid w:val="00200631"/>
    <w:rsid w:val="00200F32"/>
    <w:rsid w:val="00201D83"/>
    <w:rsid w:val="00201F11"/>
    <w:rsid w:val="002021F8"/>
    <w:rsid w:val="00202474"/>
    <w:rsid w:val="00202E71"/>
    <w:rsid w:val="002031B4"/>
    <w:rsid w:val="00203DE7"/>
    <w:rsid w:val="00204579"/>
    <w:rsid w:val="00205832"/>
    <w:rsid w:val="002062B0"/>
    <w:rsid w:val="00206E3A"/>
    <w:rsid w:val="00207851"/>
    <w:rsid w:val="00207C7A"/>
    <w:rsid w:val="0021006E"/>
    <w:rsid w:val="002100D8"/>
    <w:rsid w:val="00210ADB"/>
    <w:rsid w:val="00210EF1"/>
    <w:rsid w:val="0021100F"/>
    <w:rsid w:val="0021140D"/>
    <w:rsid w:val="00212987"/>
    <w:rsid w:val="0021329B"/>
    <w:rsid w:val="00213548"/>
    <w:rsid w:val="002149D8"/>
    <w:rsid w:val="00215ED9"/>
    <w:rsid w:val="00215F57"/>
    <w:rsid w:val="002168EB"/>
    <w:rsid w:val="00216BD5"/>
    <w:rsid w:val="00216FA5"/>
    <w:rsid w:val="00217008"/>
    <w:rsid w:val="00217DDD"/>
    <w:rsid w:val="002207FD"/>
    <w:rsid w:val="00220E67"/>
    <w:rsid w:val="0022111D"/>
    <w:rsid w:val="00221167"/>
    <w:rsid w:val="002213FA"/>
    <w:rsid w:val="00221470"/>
    <w:rsid w:val="00221E8E"/>
    <w:rsid w:val="00221EEA"/>
    <w:rsid w:val="002228E4"/>
    <w:rsid w:val="00222D57"/>
    <w:rsid w:val="00222E75"/>
    <w:rsid w:val="00223D03"/>
    <w:rsid w:val="002262A8"/>
    <w:rsid w:val="002268A1"/>
    <w:rsid w:val="00226BCE"/>
    <w:rsid w:val="00226C64"/>
    <w:rsid w:val="002270E0"/>
    <w:rsid w:val="002277AB"/>
    <w:rsid w:val="00230AC7"/>
    <w:rsid w:val="00230C8F"/>
    <w:rsid w:val="002315AC"/>
    <w:rsid w:val="002316F1"/>
    <w:rsid w:val="002319B1"/>
    <w:rsid w:val="00231C16"/>
    <w:rsid w:val="0023246E"/>
    <w:rsid w:val="00233035"/>
    <w:rsid w:val="002333EF"/>
    <w:rsid w:val="002335C6"/>
    <w:rsid w:val="00233A7B"/>
    <w:rsid w:val="00233D14"/>
    <w:rsid w:val="002349F1"/>
    <w:rsid w:val="0023530A"/>
    <w:rsid w:val="00235976"/>
    <w:rsid w:val="00235F7C"/>
    <w:rsid w:val="00237BC0"/>
    <w:rsid w:val="00240986"/>
    <w:rsid w:val="0024153C"/>
    <w:rsid w:val="00241A57"/>
    <w:rsid w:val="0024232F"/>
    <w:rsid w:val="00242AEE"/>
    <w:rsid w:val="00242DCE"/>
    <w:rsid w:val="00242F24"/>
    <w:rsid w:val="002434E0"/>
    <w:rsid w:val="002451D2"/>
    <w:rsid w:val="00245221"/>
    <w:rsid w:val="00245553"/>
    <w:rsid w:val="00245768"/>
    <w:rsid w:val="00245AEE"/>
    <w:rsid w:val="00246082"/>
    <w:rsid w:val="00246AD3"/>
    <w:rsid w:val="002476EF"/>
    <w:rsid w:val="002479BF"/>
    <w:rsid w:val="00247C61"/>
    <w:rsid w:val="002504BA"/>
    <w:rsid w:val="00251554"/>
    <w:rsid w:val="00251EB1"/>
    <w:rsid w:val="0025231E"/>
    <w:rsid w:val="0025243C"/>
    <w:rsid w:val="00253130"/>
    <w:rsid w:val="0025332D"/>
    <w:rsid w:val="00253764"/>
    <w:rsid w:val="00253DDB"/>
    <w:rsid w:val="002555BE"/>
    <w:rsid w:val="00255AD5"/>
    <w:rsid w:val="00255B4E"/>
    <w:rsid w:val="00255CF4"/>
    <w:rsid w:val="00255DF9"/>
    <w:rsid w:val="00255E58"/>
    <w:rsid w:val="00256524"/>
    <w:rsid w:val="002568D3"/>
    <w:rsid w:val="0025697F"/>
    <w:rsid w:val="00256DC6"/>
    <w:rsid w:val="00256EA7"/>
    <w:rsid w:val="00257239"/>
    <w:rsid w:val="0025733F"/>
    <w:rsid w:val="002574F5"/>
    <w:rsid w:val="0025794E"/>
    <w:rsid w:val="00257A41"/>
    <w:rsid w:val="00257C12"/>
    <w:rsid w:val="00257C95"/>
    <w:rsid w:val="002606EA"/>
    <w:rsid w:val="00260C59"/>
    <w:rsid w:val="00261257"/>
    <w:rsid w:val="0026190E"/>
    <w:rsid w:val="00261C73"/>
    <w:rsid w:val="00262DB2"/>
    <w:rsid w:val="0026326C"/>
    <w:rsid w:val="002637F5"/>
    <w:rsid w:val="00263B23"/>
    <w:rsid w:val="0026444B"/>
    <w:rsid w:val="00264E29"/>
    <w:rsid w:val="002656A2"/>
    <w:rsid w:val="00265CF3"/>
    <w:rsid w:val="00266E50"/>
    <w:rsid w:val="0026715A"/>
    <w:rsid w:val="00267255"/>
    <w:rsid w:val="0026770D"/>
    <w:rsid w:val="00267833"/>
    <w:rsid w:val="002702FA"/>
    <w:rsid w:val="0027118C"/>
    <w:rsid w:val="002712DC"/>
    <w:rsid w:val="00271406"/>
    <w:rsid w:val="00271AE8"/>
    <w:rsid w:val="00271F37"/>
    <w:rsid w:val="00272229"/>
    <w:rsid w:val="00272442"/>
    <w:rsid w:val="0027247A"/>
    <w:rsid w:val="002727F7"/>
    <w:rsid w:val="00272861"/>
    <w:rsid w:val="00272991"/>
    <w:rsid w:val="002729E6"/>
    <w:rsid w:val="00273C98"/>
    <w:rsid w:val="00273E05"/>
    <w:rsid w:val="002740B9"/>
    <w:rsid w:val="002747B0"/>
    <w:rsid w:val="002748D8"/>
    <w:rsid w:val="0027506C"/>
    <w:rsid w:val="00275C73"/>
    <w:rsid w:val="00276011"/>
    <w:rsid w:val="0027611A"/>
    <w:rsid w:val="00276409"/>
    <w:rsid w:val="002764F3"/>
    <w:rsid w:val="002766B3"/>
    <w:rsid w:val="00276E3F"/>
    <w:rsid w:val="002778ED"/>
    <w:rsid w:val="00277FF9"/>
    <w:rsid w:val="002806C4"/>
    <w:rsid w:val="00281132"/>
    <w:rsid w:val="002813E0"/>
    <w:rsid w:val="00281945"/>
    <w:rsid w:val="00282762"/>
    <w:rsid w:val="002827BF"/>
    <w:rsid w:val="00282ADD"/>
    <w:rsid w:val="00282BE9"/>
    <w:rsid w:val="002837A5"/>
    <w:rsid w:val="00284395"/>
    <w:rsid w:val="002843F9"/>
    <w:rsid w:val="0028448D"/>
    <w:rsid w:val="0028501F"/>
    <w:rsid w:val="0028531D"/>
    <w:rsid w:val="00285352"/>
    <w:rsid w:val="002861BF"/>
    <w:rsid w:val="0028674A"/>
    <w:rsid w:val="00286779"/>
    <w:rsid w:val="00286BF8"/>
    <w:rsid w:val="00287456"/>
    <w:rsid w:val="00290718"/>
    <w:rsid w:val="00291167"/>
    <w:rsid w:val="002915CF"/>
    <w:rsid w:val="002918FF"/>
    <w:rsid w:val="00291B47"/>
    <w:rsid w:val="00292727"/>
    <w:rsid w:val="002931D5"/>
    <w:rsid w:val="00293390"/>
    <w:rsid w:val="00295D52"/>
    <w:rsid w:val="0029605A"/>
    <w:rsid w:val="00296247"/>
    <w:rsid w:val="00296958"/>
    <w:rsid w:val="00296C8F"/>
    <w:rsid w:val="00296F40"/>
    <w:rsid w:val="00296FDD"/>
    <w:rsid w:val="00297059"/>
    <w:rsid w:val="0029724E"/>
    <w:rsid w:val="0029797A"/>
    <w:rsid w:val="002A109A"/>
    <w:rsid w:val="002A1741"/>
    <w:rsid w:val="002A182F"/>
    <w:rsid w:val="002A210E"/>
    <w:rsid w:val="002A36E5"/>
    <w:rsid w:val="002A476B"/>
    <w:rsid w:val="002A4CE0"/>
    <w:rsid w:val="002A560B"/>
    <w:rsid w:val="002A5B33"/>
    <w:rsid w:val="002A63FC"/>
    <w:rsid w:val="002A6EC7"/>
    <w:rsid w:val="002A7097"/>
    <w:rsid w:val="002A71FD"/>
    <w:rsid w:val="002A72D0"/>
    <w:rsid w:val="002A72E3"/>
    <w:rsid w:val="002A7556"/>
    <w:rsid w:val="002A779C"/>
    <w:rsid w:val="002B05E1"/>
    <w:rsid w:val="002B0B4E"/>
    <w:rsid w:val="002B18B8"/>
    <w:rsid w:val="002B18D5"/>
    <w:rsid w:val="002B1B84"/>
    <w:rsid w:val="002B1C1A"/>
    <w:rsid w:val="002B1D26"/>
    <w:rsid w:val="002B2190"/>
    <w:rsid w:val="002B220E"/>
    <w:rsid w:val="002B292E"/>
    <w:rsid w:val="002B2C1C"/>
    <w:rsid w:val="002B382B"/>
    <w:rsid w:val="002B3926"/>
    <w:rsid w:val="002B4B28"/>
    <w:rsid w:val="002B5603"/>
    <w:rsid w:val="002B6AC5"/>
    <w:rsid w:val="002B6C95"/>
    <w:rsid w:val="002B6CC4"/>
    <w:rsid w:val="002B711B"/>
    <w:rsid w:val="002B71BB"/>
    <w:rsid w:val="002C0924"/>
    <w:rsid w:val="002C0945"/>
    <w:rsid w:val="002C1A64"/>
    <w:rsid w:val="002C3110"/>
    <w:rsid w:val="002C38C7"/>
    <w:rsid w:val="002C457D"/>
    <w:rsid w:val="002C4640"/>
    <w:rsid w:val="002C5165"/>
    <w:rsid w:val="002C594A"/>
    <w:rsid w:val="002C6039"/>
    <w:rsid w:val="002C66A6"/>
    <w:rsid w:val="002C68C2"/>
    <w:rsid w:val="002C70BB"/>
    <w:rsid w:val="002C719A"/>
    <w:rsid w:val="002C7790"/>
    <w:rsid w:val="002D17C1"/>
    <w:rsid w:val="002D1C10"/>
    <w:rsid w:val="002D1DE6"/>
    <w:rsid w:val="002D235B"/>
    <w:rsid w:val="002D4294"/>
    <w:rsid w:val="002D4EC2"/>
    <w:rsid w:val="002D593A"/>
    <w:rsid w:val="002D5ECA"/>
    <w:rsid w:val="002D62E1"/>
    <w:rsid w:val="002D6A83"/>
    <w:rsid w:val="002D766B"/>
    <w:rsid w:val="002D7764"/>
    <w:rsid w:val="002D7AD7"/>
    <w:rsid w:val="002D7AF4"/>
    <w:rsid w:val="002E30E7"/>
    <w:rsid w:val="002E35C3"/>
    <w:rsid w:val="002E37C2"/>
    <w:rsid w:val="002E3ED1"/>
    <w:rsid w:val="002E439B"/>
    <w:rsid w:val="002E471B"/>
    <w:rsid w:val="002E5D0D"/>
    <w:rsid w:val="002E5FD6"/>
    <w:rsid w:val="002E6C16"/>
    <w:rsid w:val="002E6F53"/>
    <w:rsid w:val="002E74E7"/>
    <w:rsid w:val="002E7A41"/>
    <w:rsid w:val="002F02D8"/>
    <w:rsid w:val="002F0378"/>
    <w:rsid w:val="002F039E"/>
    <w:rsid w:val="002F0956"/>
    <w:rsid w:val="002F1C18"/>
    <w:rsid w:val="002F1D4D"/>
    <w:rsid w:val="002F2269"/>
    <w:rsid w:val="002F3ABE"/>
    <w:rsid w:val="002F4215"/>
    <w:rsid w:val="002F4664"/>
    <w:rsid w:val="002F496A"/>
    <w:rsid w:val="002F53B2"/>
    <w:rsid w:val="002F5534"/>
    <w:rsid w:val="002F5F6F"/>
    <w:rsid w:val="002F659E"/>
    <w:rsid w:val="002F68C4"/>
    <w:rsid w:val="00300149"/>
    <w:rsid w:val="00300D12"/>
    <w:rsid w:val="0030174C"/>
    <w:rsid w:val="00301E32"/>
    <w:rsid w:val="00302C64"/>
    <w:rsid w:val="00302DBF"/>
    <w:rsid w:val="00303145"/>
    <w:rsid w:val="00303C76"/>
    <w:rsid w:val="00304C2F"/>
    <w:rsid w:val="0031138C"/>
    <w:rsid w:val="003130EE"/>
    <w:rsid w:val="00313580"/>
    <w:rsid w:val="00313804"/>
    <w:rsid w:val="00314A6E"/>
    <w:rsid w:val="00314B32"/>
    <w:rsid w:val="00314F6B"/>
    <w:rsid w:val="003153DC"/>
    <w:rsid w:val="00315874"/>
    <w:rsid w:val="00315AF1"/>
    <w:rsid w:val="00315CEC"/>
    <w:rsid w:val="00315FDB"/>
    <w:rsid w:val="00316B6B"/>
    <w:rsid w:val="00316E35"/>
    <w:rsid w:val="00320207"/>
    <w:rsid w:val="003207BB"/>
    <w:rsid w:val="00320AA3"/>
    <w:rsid w:val="00321512"/>
    <w:rsid w:val="00321A37"/>
    <w:rsid w:val="00323823"/>
    <w:rsid w:val="0032392D"/>
    <w:rsid w:val="00323BC4"/>
    <w:rsid w:val="00323D06"/>
    <w:rsid w:val="00323DA0"/>
    <w:rsid w:val="003244D2"/>
    <w:rsid w:val="00324571"/>
    <w:rsid w:val="00324F9D"/>
    <w:rsid w:val="003253E8"/>
    <w:rsid w:val="00326A9E"/>
    <w:rsid w:val="00326CC3"/>
    <w:rsid w:val="003271E6"/>
    <w:rsid w:val="00330EA6"/>
    <w:rsid w:val="00330FFD"/>
    <w:rsid w:val="00331D18"/>
    <w:rsid w:val="00332937"/>
    <w:rsid w:val="003332DE"/>
    <w:rsid w:val="00333553"/>
    <w:rsid w:val="00333A99"/>
    <w:rsid w:val="00333B1D"/>
    <w:rsid w:val="00333D8C"/>
    <w:rsid w:val="00334149"/>
    <w:rsid w:val="00334521"/>
    <w:rsid w:val="0033520C"/>
    <w:rsid w:val="0033643D"/>
    <w:rsid w:val="00336658"/>
    <w:rsid w:val="0033690C"/>
    <w:rsid w:val="00336C46"/>
    <w:rsid w:val="00336E38"/>
    <w:rsid w:val="00336FC4"/>
    <w:rsid w:val="00336FF7"/>
    <w:rsid w:val="0033756D"/>
    <w:rsid w:val="003376BE"/>
    <w:rsid w:val="00337C75"/>
    <w:rsid w:val="0034051F"/>
    <w:rsid w:val="00340732"/>
    <w:rsid w:val="00340A2C"/>
    <w:rsid w:val="00340A54"/>
    <w:rsid w:val="00341326"/>
    <w:rsid w:val="003415BE"/>
    <w:rsid w:val="003420E1"/>
    <w:rsid w:val="00343496"/>
    <w:rsid w:val="003434CE"/>
    <w:rsid w:val="00344F99"/>
    <w:rsid w:val="00345CC2"/>
    <w:rsid w:val="00345EFC"/>
    <w:rsid w:val="0034624F"/>
    <w:rsid w:val="003463F1"/>
    <w:rsid w:val="00346A1D"/>
    <w:rsid w:val="00346C08"/>
    <w:rsid w:val="00346C6A"/>
    <w:rsid w:val="003470C2"/>
    <w:rsid w:val="003470DD"/>
    <w:rsid w:val="0034741B"/>
    <w:rsid w:val="00347479"/>
    <w:rsid w:val="0035044E"/>
    <w:rsid w:val="00350955"/>
    <w:rsid w:val="0035180F"/>
    <w:rsid w:val="00352C80"/>
    <w:rsid w:val="00352F61"/>
    <w:rsid w:val="003531A1"/>
    <w:rsid w:val="003536C7"/>
    <w:rsid w:val="00353946"/>
    <w:rsid w:val="003544AE"/>
    <w:rsid w:val="00355109"/>
    <w:rsid w:val="00355CD7"/>
    <w:rsid w:val="003560F9"/>
    <w:rsid w:val="00356AF5"/>
    <w:rsid w:val="003571CA"/>
    <w:rsid w:val="0035783F"/>
    <w:rsid w:val="003603A0"/>
    <w:rsid w:val="0036054D"/>
    <w:rsid w:val="00360DA6"/>
    <w:rsid w:val="00360FDF"/>
    <w:rsid w:val="003610FA"/>
    <w:rsid w:val="00361391"/>
    <w:rsid w:val="003615BC"/>
    <w:rsid w:val="00361F31"/>
    <w:rsid w:val="0036215F"/>
    <w:rsid w:val="00362407"/>
    <w:rsid w:val="003632C2"/>
    <w:rsid w:val="003634E4"/>
    <w:rsid w:val="00364BF2"/>
    <w:rsid w:val="003661CF"/>
    <w:rsid w:val="00366822"/>
    <w:rsid w:val="00366C89"/>
    <w:rsid w:val="0036701D"/>
    <w:rsid w:val="003679AA"/>
    <w:rsid w:val="00367D6D"/>
    <w:rsid w:val="00370EDD"/>
    <w:rsid w:val="0037131A"/>
    <w:rsid w:val="00371DDF"/>
    <w:rsid w:val="00372353"/>
    <w:rsid w:val="0037278D"/>
    <w:rsid w:val="00373013"/>
    <w:rsid w:val="00373396"/>
    <w:rsid w:val="003738B6"/>
    <w:rsid w:val="00373948"/>
    <w:rsid w:val="00374317"/>
    <w:rsid w:val="00374BA9"/>
    <w:rsid w:val="003764E2"/>
    <w:rsid w:val="0037660F"/>
    <w:rsid w:val="003766CC"/>
    <w:rsid w:val="003768D8"/>
    <w:rsid w:val="00376D78"/>
    <w:rsid w:val="0038007D"/>
    <w:rsid w:val="003802D7"/>
    <w:rsid w:val="0038051A"/>
    <w:rsid w:val="00381521"/>
    <w:rsid w:val="00381888"/>
    <w:rsid w:val="0038195C"/>
    <w:rsid w:val="00382065"/>
    <w:rsid w:val="003829B0"/>
    <w:rsid w:val="00383A84"/>
    <w:rsid w:val="003844FE"/>
    <w:rsid w:val="00384AD9"/>
    <w:rsid w:val="00384CE3"/>
    <w:rsid w:val="00384D95"/>
    <w:rsid w:val="003856EF"/>
    <w:rsid w:val="00385711"/>
    <w:rsid w:val="0038644F"/>
    <w:rsid w:val="00386C84"/>
    <w:rsid w:val="00387A8A"/>
    <w:rsid w:val="00390440"/>
    <w:rsid w:val="00390629"/>
    <w:rsid w:val="00390AC3"/>
    <w:rsid w:val="00390C55"/>
    <w:rsid w:val="00391801"/>
    <w:rsid w:val="003919D4"/>
    <w:rsid w:val="003927EE"/>
    <w:rsid w:val="00392EB8"/>
    <w:rsid w:val="00393509"/>
    <w:rsid w:val="003938C8"/>
    <w:rsid w:val="00394EAE"/>
    <w:rsid w:val="00395A14"/>
    <w:rsid w:val="00396788"/>
    <w:rsid w:val="003971BB"/>
    <w:rsid w:val="00397EF3"/>
    <w:rsid w:val="003A04F7"/>
    <w:rsid w:val="003A0EED"/>
    <w:rsid w:val="003A2653"/>
    <w:rsid w:val="003A309A"/>
    <w:rsid w:val="003A368A"/>
    <w:rsid w:val="003A3944"/>
    <w:rsid w:val="003A4CFC"/>
    <w:rsid w:val="003A5E96"/>
    <w:rsid w:val="003A6236"/>
    <w:rsid w:val="003A62F5"/>
    <w:rsid w:val="003A699D"/>
    <w:rsid w:val="003A6AE7"/>
    <w:rsid w:val="003A6B90"/>
    <w:rsid w:val="003A6CCC"/>
    <w:rsid w:val="003A6E11"/>
    <w:rsid w:val="003A6F05"/>
    <w:rsid w:val="003A7973"/>
    <w:rsid w:val="003B010A"/>
    <w:rsid w:val="003B07A4"/>
    <w:rsid w:val="003B08ED"/>
    <w:rsid w:val="003B1B59"/>
    <w:rsid w:val="003B20A2"/>
    <w:rsid w:val="003B2589"/>
    <w:rsid w:val="003B275F"/>
    <w:rsid w:val="003B3E88"/>
    <w:rsid w:val="003B3EB7"/>
    <w:rsid w:val="003B4182"/>
    <w:rsid w:val="003B47D4"/>
    <w:rsid w:val="003B491D"/>
    <w:rsid w:val="003B4BF1"/>
    <w:rsid w:val="003B544E"/>
    <w:rsid w:val="003B605A"/>
    <w:rsid w:val="003B68A9"/>
    <w:rsid w:val="003B7DEE"/>
    <w:rsid w:val="003B7E5F"/>
    <w:rsid w:val="003C0EEB"/>
    <w:rsid w:val="003C1019"/>
    <w:rsid w:val="003C1F7B"/>
    <w:rsid w:val="003C219A"/>
    <w:rsid w:val="003C328B"/>
    <w:rsid w:val="003C349C"/>
    <w:rsid w:val="003C3EFA"/>
    <w:rsid w:val="003C3F59"/>
    <w:rsid w:val="003C4360"/>
    <w:rsid w:val="003C468F"/>
    <w:rsid w:val="003C4E2C"/>
    <w:rsid w:val="003C5547"/>
    <w:rsid w:val="003C56A5"/>
    <w:rsid w:val="003C5830"/>
    <w:rsid w:val="003C58B6"/>
    <w:rsid w:val="003C6214"/>
    <w:rsid w:val="003C6F8B"/>
    <w:rsid w:val="003D0BC4"/>
    <w:rsid w:val="003D17B7"/>
    <w:rsid w:val="003D1845"/>
    <w:rsid w:val="003D18A6"/>
    <w:rsid w:val="003D1B9E"/>
    <w:rsid w:val="003D1BDE"/>
    <w:rsid w:val="003D1E9B"/>
    <w:rsid w:val="003D3C18"/>
    <w:rsid w:val="003D3C63"/>
    <w:rsid w:val="003D4BBD"/>
    <w:rsid w:val="003D4DEF"/>
    <w:rsid w:val="003D4F4F"/>
    <w:rsid w:val="003D4FE0"/>
    <w:rsid w:val="003D5788"/>
    <w:rsid w:val="003D71D5"/>
    <w:rsid w:val="003D72CB"/>
    <w:rsid w:val="003D7D28"/>
    <w:rsid w:val="003E01BE"/>
    <w:rsid w:val="003E0A6F"/>
    <w:rsid w:val="003E1838"/>
    <w:rsid w:val="003E305E"/>
    <w:rsid w:val="003E3885"/>
    <w:rsid w:val="003E4218"/>
    <w:rsid w:val="003E47B6"/>
    <w:rsid w:val="003E5602"/>
    <w:rsid w:val="003E6743"/>
    <w:rsid w:val="003E6953"/>
    <w:rsid w:val="003E6A0F"/>
    <w:rsid w:val="003E7CF5"/>
    <w:rsid w:val="003E7F4A"/>
    <w:rsid w:val="003F1234"/>
    <w:rsid w:val="003F1B15"/>
    <w:rsid w:val="003F1D2F"/>
    <w:rsid w:val="003F2C86"/>
    <w:rsid w:val="003F321F"/>
    <w:rsid w:val="003F42BF"/>
    <w:rsid w:val="003F47A9"/>
    <w:rsid w:val="003F4E58"/>
    <w:rsid w:val="003F5B1F"/>
    <w:rsid w:val="003F623D"/>
    <w:rsid w:val="003F670C"/>
    <w:rsid w:val="003F6877"/>
    <w:rsid w:val="003F77CB"/>
    <w:rsid w:val="003F7D9C"/>
    <w:rsid w:val="004002B7"/>
    <w:rsid w:val="0040089C"/>
    <w:rsid w:val="00400AE9"/>
    <w:rsid w:val="00401423"/>
    <w:rsid w:val="00401474"/>
    <w:rsid w:val="004017B6"/>
    <w:rsid w:val="00401C7E"/>
    <w:rsid w:val="00402121"/>
    <w:rsid w:val="0040242E"/>
    <w:rsid w:val="00402511"/>
    <w:rsid w:val="00402989"/>
    <w:rsid w:val="004029AD"/>
    <w:rsid w:val="00402A7F"/>
    <w:rsid w:val="00403991"/>
    <w:rsid w:val="004039DC"/>
    <w:rsid w:val="00403C4F"/>
    <w:rsid w:val="00405BB2"/>
    <w:rsid w:val="00406178"/>
    <w:rsid w:val="004061CB"/>
    <w:rsid w:val="00406378"/>
    <w:rsid w:val="0040676A"/>
    <w:rsid w:val="004069DB"/>
    <w:rsid w:val="00406E4B"/>
    <w:rsid w:val="00407472"/>
    <w:rsid w:val="00407C78"/>
    <w:rsid w:val="004107F4"/>
    <w:rsid w:val="00410FE1"/>
    <w:rsid w:val="004113E7"/>
    <w:rsid w:val="00411802"/>
    <w:rsid w:val="0041248A"/>
    <w:rsid w:val="00412EE3"/>
    <w:rsid w:val="00413D88"/>
    <w:rsid w:val="004141E8"/>
    <w:rsid w:val="00414B0E"/>
    <w:rsid w:val="0041505B"/>
    <w:rsid w:val="0041509D"/>
    <w:rsid w:val="004154CF"/>
    <w:rsid w:val="004159D2"/>
    <w:rsid w:val="0041665E"/>
    <w:rsid w:val="00416757"/>
    <w:rsid w:val="004200AC"/>
    <w:rsid w:val="004201E5"/>
    <w:rsid w:val="004205FC"/>
    <w:rsid w:val="0042071A"/>
    <w:rsid w:val="00420B67"/>
    <w:rsid w:val="00421435"/>
    <w:rsid w:val="004216A3"/>
    <w:rsid w:val="0042181F"/>
    <w:rsid w:val="00422268"/>
    <w:rsid w:val="0042231C"/>
    <w:rsid w:val="004230F5"/>
    <w:rsid w:val="00423492"/>
    <w:rsid w:val="004245AA"/>
    <w:rsid w:val="0042487C"/>
    <w:rsid w:val="00425338"/>
    <w:rsid w:val="00425D47"/>
    <w:rsid w:val="0042603A"/>
    <w:rsid w:val="00430327"/>
    <w:rsid w:val="00430E7D"/>
    <w:rsid w:val="0043100B"/>
    <w:rsid w:val="004311CC"/>
    <w:rsid w:val="00431426"/>
    <w:rsid w:val="00431600"/>
    <w:rsid w:val="00431F38"/>
    <w:rsid w:val="00432657"/>
    <w:rsid w:val="00432B7E"/>
    <w:rsid w:val="00432FDB"/>
    <w:rsid w:val="00433662"/>
    <w:rsid w:val="0043369C"/>
    <w:rsid w:val="00434011"/>
    <w:rsid w:val="00434257"/>
    <w:rsid w:val="00435692"/>
    <w:rsid w:val="00435B95"/>
    <w:rsid w:val="00435E9B"/>
    <w:rsid w:val="00435F45"/>
    <w:rsid w:val="004366D8"/>
    <w:rsid w:val="00437343"/>
    <w:rsid w:val="004373E7"/>
    <w:rsid w:val="00441356"/>
    <w:rsid w:val="00443F48"/>
    <w:rsid w:val="0044402F"/>
    <w:rsid w:val="00444413"/>
    <w:rsid w:val="0044451C"/>
    <w:rsid w:val="0044464D"/>
    <w:rsid w:val="0044559C"/>
    <w:rsid w:val="0044568D"/>
    <w:rsid w:val="0044568E"/>
    <w:rsid w:val="00445BA7"/>
    <w:rsid w:val="00445E90"/>
    <w:rsid w:val="00446E30"/>
    <w:rsid w:val="00446FAF"/>
    <w:rsid w:val="004475D5"/>
    <w:rsid w:val="004479A8"/>
    <w:rsid w:val="00447CD7"/>
    <w:rsid w:val="00450982"/>
    <w:rsid w:val="00451284"/>
    <w:rsid w:val="0045366E"/>
    <w:rsid w:val="00453A10"/>
    <w:rsid w:val="00454621"/>
    <w:rsid w:val="0045490F"/>
    <w:rsid w:val="00454D6D"/>
    <w:rsid w:val="004552D5"/>
    <w:rsid w:val="0045554B"/>
    <w:rsid w:val="0045613E"/>
    <w:rsid w:val="0045648A"/>
    <w:rsid w:val="004567E5"/>
    <w:rsid w:val="00457CB6"/>
    <w:rsid w:val="004600A0"/>
    <w:rsid w:val="004603BF"/>
    <w:rsid w:val="004603E1"/>
    <w:rsid w:val="00460703"/>
    <w:rsid w:val="00460937"/>
    <w:rsid w:val="00460EEF"/>
    <w:rsid w:val="0046120B"/>
    <w:rsid w:val="00461808"/>
    <w:rsid w:val="004630CB"/>
    <w:rsid w:val="00463265"/>
    <w:rsid w:val="00463B61"/>
    <w:rsid w:val="00463BC2"/>
    <w:rsid w:val="00463FB9"/>
    <w:rsid w:val="00463FCF"/>
    <w:rsid w:val="0046412B"/>
    <w:rsid w:val="004644F7"/>
    <w:rsid w:val="00464A9A"/>
    <w:rsid w:val="004652C4"/>
    <w:rsid w:val="004660AE"/>
    <w:rsid w:val="00466A39"/>
    <w:rsid w:val="00466B35"/>
    <w:rsid w:val="00467041"/>
    <w:rsid w:val="0046753D"/>
    <w:rsid w:val="00467EB2"/>
    <w:rsid w:val="00470099"/>
    <w:rsid w:val="0047034B"/>
    <w:rsid w:val="004706D4"/>
    <w:rsid w:val="00471128"/>
    <w:rsid w:val="004725F3"/>
    <w:rsid w:val="00472A16"/>
    <w:rsid w:val="004730AB"/>
    <w:rsid w:val="004736B1"/>
    <w:rsid w:val="004738C3"/>
    <w:rsid w:val="00474482"/>
    <w:rsid w:val="00474735"/>
    <w:rsid w:val="00474BE3"/>
    <w:rsid w:val="00474F20"/>
    <w:rsid w:val="00475C46"/>
    <w:rsid w:val="00475CC8"/>
    <w:rsid w:val="00476003"/>
    <w:rsid w:val="004763A0"/>
    <w:rsid w:val="0047659A"/>
    <w:rsid w:val="00476716"/>
    <w:rsid w:val="00477E92"/>
    <w:rsid w:val="0048028E"/>
    <w:rsid w:val="00480F22"/>
    <w:rsid w:val="004812F7"/>
    <w:rsid w:val="00481D94"/>
    <w:rsid w:val="00481EC3"/>
    <w:rsid w:val="00482372"/>
    <w:rsid w:val="00483D42"/>
    <w:rsid w:val="004842A5"/>
    <w:rsid w:val="00484F94"/>
    <w:rsid w:val="00485780"/>
    <w:rsid w:val="00485CBC"/>
    <w:rsid w:val="004864BD"/>
    <w:rsid w:val="00486F33"/>
    <w:rsid w:val="00487788"/>
    <w:rsid w:val="00487852"/>
    <w:rsid w:val="004904E1"/>
    <w:rsid w:val="004906E1"/>
    <w:rsid w:val="00490C9E"/>
    <w:rsid w:val="00490D73"/>
    <w:rsid w:val="00490F81"/>
    <w:rsid w:val="004924D3"/>
    <w:rsid w:val="00492EAC"/>
    <w:rsid w:val="00492FEE"/>
    <w:rsid w:val="0049300C"/>
    <w:rsid w:val="00493219"/>
    <w:rsid w:val="0049378A"/>
    <w:rsid w:val="00494020"/>
    <w:rsid w:val="00494D49"/>
    <w:rsid w:val="00494FBB"/>
    <w:rsid w:val="00494FDA"/>
    <w:rsid w:val="00495322"/>
    <w:rsid w:val="0049597A"/>
    <w:rsid w:val="00495D1D"/>
    <w:rsid w:val="00496136"/>
    <w:rsid w:val="004966FA"/>
    <w:rsid w:val="00496877"/>
    <w:rsid w:val="00497091"/>
    <w:rsid w:val="0049768E"/>
    <w:rsid w:val="00497F21"/>
    <w:rsid w:val="004A015E"/>
    <w:rsid w:val="004A0242"/>
    <w:rsid w:val="004A0598"/>
    <w:rsid w:val="004A06CA"/>
    <w:rsid w:val="004A0749"/>
    <w:rsid w:val="004A0A89"/>
    <w:rsid w:val="004A0F2A"/>
    <w:rsid w:val="004A1DE5"/>
    <w:rsid w:val="004A20A8"/>
    <w:rsid w:val="004A2199"/>
    <w:rsid w:val="004A267E"/>
    <w:rsid w:val="004A288D"/>
    <w:rsid w:val="004A28E7"/>
    <w:rsid w:val="004A3411"/>
    <w:rsid w:val="004A35BE"/>
    <w:rsid w:val="004A3873"/>
    <w:rsid w:val="004A517D"/>
    <w:rsid w:val="004A5447"/>
    <w:rsid w:val="004A6545"/>
    <w:rsid w:val="004A71EA"/>
    <w:rsid w:val="004A7506"/>
    <w:rsid w:val="004A76DB"/>
    <w:rsid w:val="004B0D73"/>
    <w:rsid w:val="004B1355"/>
    <w:rsid w:val="004B1AFA"/>
    <w:rsid w:val="004B2185"/>
    <w:rsid w:val="004B2D10"/>
    <w:rsid w:val="004B2EF8"/>
    <w:rsid w:val="004B379D"/>
    <w:rsid w:val="004B4013"/>
    <w:rsid w:val="004B41EC"/>
    <w:rsid w:val="004B48F4"/>
    <w:rsid w:val="004B4F23"/>
    <w:rsid w:val="004B61C6"/>
    <w:rsid w:val="004B7387"/>
    <w:rsid w:val="004B73FB"/>
    <w:rsid w:val="004C0606"/>
    <w:rsid w:val="004C13A4"/>
    <w:rsid w:val="004C1937"/>
    <w:rsid w:val="004C1F30"/>
    <w:rsid w:val="004C1F7A"/>
    <w:rsid w:val="004C23ED"/>
    <w:rsid w:val="004C3020"/>
    <w:rsid w:val="004C35DF"/>
    <w:rsid w:val="004C45CF"/>
    <w:rsid w:val="004C4DBB"/>
    <w:rsid w:val="004C5086"/>
    <w:rsid w:val="004C5648"/>
    <w:rsid w:val="004C5AEA"/>
    <w:rsid w:val="004C5D9C"/>
    <w:rsid w:val="004C63B1"/>
    <w:rsid w:val="004C796A"/>
    <w:rsid w:val="004C7F75"/>
    <w:rsid w:val="004D07D5"/>
    <w:rsid w:val="004D0945"/>
    <w:rsid w:val="004D1F69"/>
    <w:rsid w:val="004D25F1"/>
    <w:rsid w:val="004D2940"/>
    <w:rsid w:val="004D29B6"/>
    <w:rsid w:val="004D2A0A"/>
    <w:rsid w:val="004D2BEB"/>
    <w:rsid w:val="004D30F2"/>
    <w:rsid w:val="004D324E"/>
    <w:rsid w:val="004D3462"/>
    <w:rsid w:val="004D4247"/>
    <w:rsid w:val="004D5202"/>
    <w:rsid w:val="004D5FEC"/>
    <w:rsid w:val="004D642C"/>
    <w:rsid w:val="004D688E"/>
    <w:rsid w:val="004D7F5D"/>
    <w:rsid w:val="004E057F"/>
    <w:rsid w:val="004E08A6"/>
    <w:rsid w:val="004E0C8A"/>
    <w:rsid w:val="004E11D5"/>
    <w:rsid w:val="004E1363"/>
    <w:rsid w:val="004E15CC"/>
    <w:rsid w:val="004E16C2"/>
    <w:rsid w:val="004E3B4E"/>
    <w:rsid w:val="004E419B"/>
    <w:rsid w:val="004E44DB"/>
    <w:rsid w:val="004E4B6A"/>
    <w:rsid w:val="004E5765"/>
    <w:rsid w:val="004E5954"/>
    <w:rsid w:val="004E5D2B"/>
    <w:rsid w:val="004E6DD1"/>
    <w:rsid w:val="004E707A"/>
    <w:rsid w:val="004E77D1"/>
    <w:rsid w:val="004E785E"/>
    <w:rsid w:val="004E7BFF"/>
    <w:rsid w:val="004F0237"/>
    <w:rsid w:val="004F0DE9"/>
    <w:rsid w:val="004F0E10"/>
    <w:rsid w:val="004F104F"/>
    <w:rsid w:val="004F140E"/>
    <w:rsid w:val="004F19A4"/>
    <w:rsid w:val="004F1C45"/>
    <w:rsid w:val="004F234F"/>
    <w:rsid w:val="004F26B7"/>
    <w:rsid w:val="004F3375"/>
    <w:rsid w:val="004F33C6"/>
    <w:rsid w:val="004F400C"/>
    <w:rsid w:val="004F4047"/>
    <w:rsid w:val="004F4889"/>
    <w:rsid w:val="004F4B82"/>
    <w:rsid w:val="004F4E37"/>
    <w:rsid w:val="004F5007"/>
    <w:rsid w:val="004F563A"/>
    <w:rsid w:val="004F566B"/>
    <w:rsid w:val="004F5B37"/>
    <w:rsid w:val="004F6139"/>
    <w:rsid w:val="004F648D"/>
    <w:rsid w:val="004F676C"/>
    <w:rsid w:val="004F791A"/>
    <w:rsid w:val="004F7A99"/>
    <w:rsid w:val="004F7DA3"/>
    <w:rsid w:val="004F7FEF"/>
    <w:rsid w:val="00500792"/>
    <w:rsid w:val="00501BAB"/>
    <w:rsid w:val="00501EB1"/>
    <w:rsid w:val="0050241D"/>
    <w:rsid w:val="00504551"/>
    <w:rsid w:val="0050476F"/>
    <w:rsid w:val="00504AB9"/>
    <w:rsid w:val="00504AD6"/>
    <w:rsid w:val="00505360"/>
    <w:rsid w:val="005060D5"/>
    <w:rsid w:val="005062AE"/>
    <w:rsid w:val="005065DE"/>
    <w:rsid w:val="0050734A"/>
    <w:rsid w:val="005073D5"/>
    <w:rsid w:val="0050747B"/>
    <w:rsid w:val="005074FE"/>
    <w:rsid w:val="00507595"/>
    <w:rsid w:val="00507954"/>
    <w:rsid w:val="00507BE5"/>
    <w:rsid w:val="0051007B"/>
    <w:rsid w:val="0051156D"/>
    <w:rsid w:val="00511E99"/>
    <w:rsid w:val="0051268C"/>
    <w:rsid w:val="00513877"/>
    <w:rsid w:val="00514662"/>
    <w:rsid w:val="00514C17"/>
    <w:rsid w:val="005161BA"/>
    <w:rsid w:val="00516F1E"/>
    <w:rsid w:val="00517044"/>
    <w:rsid w:val="00517202"/>
    <w:rsid w:val="005202FB"/>
    <w:rsid w:val="0052042C"/>
    <w:rsid w:val="0052069D"/>
    <w:rsid w:val="005212CA"/>
    <w:rsid w:val="00521967"/>
    <w:rsid w:val="00521BD5"/>
    <w:rsid w:val="00521F7A"/>
    <w:rsid w:val="00522332"/>
    <w:rsid w:val="00522DB3"/>
    <w:rsid w:val="005232A8"/>
    <w:rsid w:val="00524788"/>
    <w:rsid w:val="00524B14"/>
    <w:rsid w:val="00524F07"/>
    <w:rsid w:val="00525349"/>
    <w:rsid w:val="00527835"/>
    <w:rsid w:val="00527ACC"/>
    <w:rsid w:val="00531D69"/>
    <w:rsid w:val="00532404"/>
    <w:rsid w:val="0053261A"/>
    <w:rsid w:val="00533263"/>
    <w:rsid w:val="0053359E"/>
    <w:rsid w:val="00533787"/>
    <w:rsid w:val="005337F6"/>
    <w:rsid w:val="005350D0"/>
    <w:rsid w:val="0053525E"/>
    <w:rsid w:val="005360BC"/>
    <w:rsid w:val="00537D28"/>
    <w:rsid w:val="00537DB9"/>
    <w:rsid w:val="00540D26"/>
    <w:rsid w:val="005412B5"/>
    <w:rsid w:val="00541F0B"/>
    <w:rsid w:val="005429C0"/>
    <w:rsid w:val="00542CB5"/>
    <w:rsid w:val="005432A0"/>
    <w:rsid w:val="005434BE"/>
    <w:rsid w:val="00543609"/>
    <w:rsid w:val="0054397D"/>
    <w:rsid w:val="00543A7A"/>
    <w:rsid w:val="00543B80"/>
    <w:rsid w:val="00543CE4"/>
    <w:rsid w:val="005446BF"/>
    <w:rsid w:val="00544A69"/>
    <w:rsid w:val="00545637"/>
    <w:rsid w:val="0054666B"/>
    <w:rsid w:val="00546A49"/>
    <w:rsid w:val="00547134"/>
    <w:rsid w:val="00547BEC"/>
    <w:rsid w:val="00547DDC"/>
    <w:rsid w:val="005500A7"/>
    <w:rsid w:val="005509B6"/>
    <w:rsid w:val="00551069"/>
    <w:rsid w:val="00551144"/>
    <w:rsid w:val="00551529"/>
    <w:rsid w:val="00551986"/>
    <w:rsid w:val="00551C32"/>
    <w:rsid w:val="005527A5"/>
    <w:rsid w:val="00554BFA"/>
    <w:rsid w:val="005554BA"/>
    <w:rsid w:val="00555863"/>
    <w:rsid w:val="00555957"/>
    <w:rsid w:val="005566FE"/>
    <w:rsid w:val="0055761B"/>
    <w:rsid w:val="00557B52"/>
    <w:rsid w:val="005611A5"/>
    <w:rsid w:val="005619BA"/>
    <w:rsid w:val="0056270B"/>
    <w:rsid w:val="00562AC9"/>
    <w:rsid w:val="00562C25"/>
    <w:rsid w:val="00562FA3"/>
    <w:rsid w:val="00563C68"/>
    <w:rsid w:val="0056407A"/>
    <w:rsid w:val="005640EA"/>
    <w:rsid w:val="00564A74"/>
    <w:rsid w:val="00564E99"/>
    <w:rsid w:val="005651CB"/>
    <w:rsid w:val="00566371"/>
    <w:rsid w:val="00566A6B"/>
    <w:rsid w:val="00567060"/>
    <w:rsid w:val="0057034C"/>
    <w:rsid w:val="00571607"/>
    <w:rsid w:val="00572E87"/>
    <w:rsid w:val="00573B03"/>
    <w:rsid w:val="00573B0D"/>
    <w:rsid w:val="00573B14"/>
    <w:rsid w:val="005743ED"/>
    <w:rsid w:val="00574F58"/>
    <w:rsid w:val="0057537C"/>
    <w:rsid w:val="00575AAC"/>
    <w:rsid w:val="00580081"/>
    <w:rsid w:val="00580203"/>
    <w:rsid w:val="005811F8"/>
    <w:rsid w:val="00581975"/>
    <w:rsid w:val="00581DC2"/>
    <w:rsid w:val="005830F1"/>
    <w:rsid w:val="00583734"/>
    <w:rsid w:val="00583ACF"/>
    <w:rsid w:val="00585C5A"/>
    <w:rsid w:val="00585D65"/>
    <w:rsid w:val="005900AB"/>
    <w:rsid w:val="005908AE"/>
    <w:rsid w:val="00590CB2"/>
    <w:rsid w:val="005912C2"/>
    <w:rsid w:val="00591DEB"/>
    <w:rsid w:val="0059252D"/>
    <w:rsid w:val="00594178"/>
    <w:rsid w:val="005943B5"/>
    <w:rsid w:val="00594808"/>
    <w:rsid w:val="00594BC6"/>
    <w:rsid w:val="0059507D"/>
    <w:rsid w:val="00595CAB"/>
    <w:rsid w:val="00595DE2"/>
    <w:rsid w:val="00596290"/>
    <w:rsid w:val="00596A83"/>
    <w:rsid w:val="005A0978"/>
    <w:rsid w:val="005A0A24"/>
    <w:rsid w:val="005A1D75"/>
    <w:rsid w:val="005A2566"/>
    <w:rsid w:val="005A44B5"/>
    <w:rsid w:val="005A5699"/>
    <w:rsid w:val="005A5C19"/>
    <w:rsid w:val="005A5EE8"/>
    <w:rsid w:val="005B03F9"/>
    <w:rsid w:val="005B0580"/>
    <w:rsid w:val="005B1066"/>
    <w:rsid w:val="005B1272"/>
    <w:rsid w:val="005B1289"/>
    <w:rsid w:val="005B2E00"/>
    <w:rsid w:val="005B3027"/>
    <w:rsid w:val="005B479E"/>
    <w:rsid w:val="005B5679"/>
    <w:rsid w:val="005B5E57"/>
    <w:rsid w:val="005B6C3F"/>
    <w:rsid w:val="005B731B"/>
    <w:rsid w:val="005B7986"/>
    <w:rsid w:val="005C01F2"/>
    <w:rsid w:val="005C02C4"/>
    <w:rsid w:val="005C0640"/>
    <w:rsid w:val="005C2522"/>
    <w:rsid w:val="005C42A2"/>
    <w:rsid w:val="005C453A"/>
    <w:rsid w:val="005C463F"/>
    <w:rsid w:val="005C4758"/>
    <w:rsid w:val="005C5676"/>
    <w:rsid w:val="005C6EA0"/>
    <w:rsid w:val="005C732B"/>
    <w:rsid w:val="005C7FA8"/>
    <w:rsid w:val="005D1377"/>
    <w:rsid w:val="005D2A03"/>
    <w:rsid w:val="005D34AC"/>
    <w:rsid w:val="005D4A4A"/>
    <w:rsid w:val="005D531C"/>
    <w:rsid w:val="005D54BB"/>
    <w:rsid w:val="005D5B57"/>
    <w:rsid w:val="005D6608"/>
    <w:rsid w:val="005D70EF"/>
    <w:rsid w:val="005D76F9"/>
    <w:rsid w:val="005D773F"/>
    <w:rsid w:val="005D7EC3"/>
    <w:rsid w:val="005E1CBF"/>
    <w:rsid w:val="005E1DA5"/>
    <w:rsid w:val="005E28D1"/>
    <w:rsid w:val="005E3AE5"/>
    <w:rsid w:val="005E42AE"/>
    <w:rsid w:val="005E42F6"/>
    <w:rsid w:val="005E5452"/>
    <w:rsid w:val="005E5A98"/>
    <w:rsid w:val="005E5EDC"/>
    <w:rsid w:val="005E64DD"/>
    <w:rsid w:val="005E7390"/>
    <w:rsid w:val="005F027C"/>
    <w:rsid w:val="005F126B"/>
    <w:rsid w:val="005F1937"/>
    <w:rsid w:val="005F1ED6"/>
    <w:rsid w:val="005F27D2"/>
    <w:rsid w:val="005F393B"/>
    <w:rsid w:val="005F4CF7"/>
    <w:rsid w:val="005F515B"/>
    <w:rsid w:val="005F523E"/>
    <w:rsid w:val="005F52D2"/>
    <w:rsid w:val="005F52F8"/>
    <w:rsid w:val="005F5D04"/>
    <w:rsid w:val="00600AC1"/>
    <w:rsid w:val="00601A8E"/>
    <w:rsid w:val="00601FEE"/>
    <w:rsid w:val="00602516"/>
    <w:rsid w:val="00602972"/>
    <w:rsid w:val="00602A9E"/>
    <w:rsid w:val="00602B3D"/>
    <w:rsid w:val="00603150"/>
    <w:rsid w:val="0060376D"/>
    <w:rsid w:val="00603E3E"/>
    <w:rsid w:val="00603F0B"/>
    <w:rsid w:val="00604430"/>
    <w:rsid w:val="006048AD"/>
    <w:rsid w:val="00604C46"/>
    <w:rsid w:val="00605F25"/>
    <w:rsid w:val="006066F8"/>
    <w:rsid w:val="00607F79"/>
    <w:rsid w:val="0061068F"/>
    <w:rsid w:val="0061081A"/>
    <w:rsid w:val="00610A12"/>
    <w:rsid w:val="00610CC2"/>
    <w:rsid w:val="006112E4"/>
    <w:rsid w:val="0061147E"/>
    <w:rsid w:val="0061213A"/>
    <w:rsid w:val="006124B6"/>
    <w:rsid w:val="00612647"/>
    <w:rsid w:val="0061288F"/>
    <w:rsid w:val="0061411A"/>
    <w:rsid w:val="00614247"/>
    <w:rsid w:val="006142D9"/>
    <w:rsid w:val="006147D8"/>
    <w:rsid w:val="00614F5A"/>
    <w:rsid w:val="00615558"/>
    <w:rsid w:val="006155EB"/>
    <w:rsid w:val="00615843"/>
    <w:rsid w:val="00617C96"/>
    <w:rsid w:val="00617F79"/>
    <w:rsid w:val="00620839"/>
    <w:rsid w:val="00620965"/>
    <w:rsid w:val="006213F4"/>
    <w:rsid w:val="0062279B"/>
    <w:rsid w:val="006233AB"/>
    <w:rsid w:val="006233D5"/>
    <w:rsid w:val="00623DFA"/>
    <w:rsid w:val="00623FAF"/>
    <w:rsid w:val="006247D9"/>
    <w:rsid w:val="00624AF9"/>
    <w:rsid w:val="006252F4"/>
    <w:rsid w:val="00625511"/>
    <w:rsid w:val="0062583C"/>
    <w:rsid w:val="00626850"/>
    <w:rsid w:val="00626D14"/>
    <w:rsid w:val="00626FA9"/>
    <w:rsid w:val="00627314"/>
    <w:rsid w:val="00627C39"/>
    <w:rsid w:val="00627E3E"/>
    <w:rsid w:val="00630E67"/>
    <w:rsid w:val="0063100A"/>
    <w:rsid w:val="00631C2A"/>
    <w:rsid w:val="006321E0"/>
    <w:rsid w:val="0063308D"/>
    <w:rsid w:val="00633428"/>
    <w:rsid w:val="00633CD8"/>
    <w:rsid w:val="00633F06"/>
    <w:rsid w:val="0063485B"/>
    <w:rsid w:val="00634B74"/>
    <w:rsid w:val="00634D65"/>
    <w:rsid w:val="00635903"/>
    <w:rsid w:val="00635BFF"/>
    <w:rsid w:val="00636193"/>
    <w:rsid w:val="006367C0"/>
    <w:rsid w:val="006370AD"/>
    <w:rsid w:val="006372CA"/>
    <w:rsid w:val="0063734F"/>
    <w:rsid w:val="00640107"/>
    <w:rsid w:val="00640689"/>
    <w:rsid w:val="006410D6"/>
    <w:rsid w:val="006415E4"/>
    <w:rsid w:val="0064254F"/>
    <w:rsid w:val="0064256F"/>
    <w:rsid w:val="00642730"/>
    <w:rsid w:val="0064278D"/>
    <w:rsid w:val="006431F8"/>
    <w:rsid w:val="00643296"/>
    <w:rsid w:val="00643C50"/>
    <w:rsid w:val="006453D0"/>
    <w:rsid w:val="0064584D"/>
    <w:rsid w:val="00645B54"/>
    <w:rsid w:val="006462AB"/>
    <w:rsid w:val="00646399"/>
    <w:rsid w:val="00646BE4"/>
    <w:rsid w:val="00647967"/>
    <w:rsid w:val="00647E10"/>
    <w:rsid w:val="00650E43"/>
    <w:rsid w:val="00650F59"/>
    <w:rsid w:val="00650FBC"/>
    <w:rsid w:val="00651567"/>
    <w:rsid w:val="006516FA"/>
    <w:rsid w:val="006523FA"/>
    <w:rsid w:val="0065628E"/>
    <w:rsid w:val="006570E4"/>
    <w:rsid w:val="006575B0"/>
    <w:rsid w:val="0065792E"/>
    <w:rsid w:val="00657FB2"/>
    <w:rsid w:val="00660041"/>
    <w:rsid w:val="0066041C"/>
    <w:rsid w:val="0066066E"/>
    <w:rsid w:val="00660AB8"/>
    <w:rsid w:val="00660E23"/>
    <w:rsid w:val="006611DA"/>
    <w:rsid w:val="00661619"/>
    <w:rsid w:val="00661782"/>
    <w:rsid w:val="00661CD8"/>
    <w:rsid w:val="0066267E"/>
    <w:rsid w:val="006635FD"/>
    <w:rsid w:val="0066451F"/>
    <w:rsid w:val="00664DB5"/>
    <w:rsid w:val="00665AF9"/>
    <w:rsid w:val="00665D8B"/>
    <w:rsid w:val="00667080"/>
    <w:rsid w:val="006673B7"/>
    <w:rsid w:val="00667663"/>
    <w:rsid w:val="00671C14"/>
    <w:rsid w:val="00672061"/>
    <w:rsid w:val="00672E30"/>
    <w:rsid w:val="00673562"/>
    <w:rsid w:val="00676FFA"/>
    <w:rsid w:val="00677338"/>
    <w:rsid w:val="00677481"/>
    <w:rsid w:val="00677950"/>
    <w:rsid w:val="00677959"/>
    <w:rsid w:val="00681E54"/>
    <w:rsid w:val="00682E76"/>
    <w:rsid w:val="00683731"/>
    <w:rsid w:val="006847C7"/>
    <w:rsid w:val="00684B36"/>
    <w:rsid w:val="00684C01"/>
    <w:rsid w:val="00684E54"/>
    <w:rsid w:val="00685312"/>
    <w:rsid w:val="00685FB2"/>
    <w:rsid w:val="00687C01"/>
    <w:rsid w:val="0069005E"/>
    <w:rsid w:val="00691E11"/>
    <w:rsid w:val="00692378"/>
    <w:rsid w:val="00692727"/>
    <w:rsid w:val="00694675"/>
    <w:rsid w:val="00694853"/>
    <w:rsid w:val="0069538D"/>
    <w:rsid w:val="00695562"/>
    <w:rsid w:val="006956B4"/>
    <w:rsid w:val="00695863"/>
    <w:rsid w:val="00696530"/>
    <w:rsid w:val="006967C6"/>
    <w:rsid w:val="00696FFD"/>
    <w:rsid w:val="006970F0"/>
    <w:rsid w:val="00697542"/>
    <w:rsid w:val="006975CD"/>
    <w:rsid w:val="006A0287"/>
    <w:rsid w:val="006A0CD2"/>
    <w:rsid w:val="006A141F"/>
    <w:rsid w:val="006A15C2"/>
    <w:rsid w:val="006A1933"/>
    <w:rsid w:val="006A1948"/>
    <w:rsid w:val="006A37C0"/>
    <w:rsid w:val="006A3C8C"/>
    <w:rsid w:val="006A520D"/>
    <w:rsid w:val="006A57B8"/>
    <w:rsid w:val="006A5B41"/>
    <w:rsid w:val="006A6054"/>
    <w:rsid w:val="006A61F2"/>
    <w:rsid w:val="006A63BE"/>
    <w:rsid w:val="006A7037"/>
    <w:rsid w:val="006A7560"/>
    <w:rsid w:val="006A756F"/>
    <w:rsid w:val="006A7E23"/>
    <w:rsid w:val="006B0070"/>
    <w:rsid w:val="006B00FF"/>
    <w:rsid w:val="006B0184"/>
    <w:rsid w:val="006B0718"/>
    <w:rsid w:val="006B085A"/>
    <w:rsid w:val="006B0C3B"/>
    <w:rsid w:val="006B1633"/>
    <w:rsid w:val="006B2011"/>
    <w:rsid w:val="006B2782"/>
    <w:rsid w:val="006B2941"/>
    <w:rsid w:val="006B2A09"/>
    <w:rsid w:val="006B30E2"/>
    <w:rsid w:val="006B3B0B"/>
    <w:rsid w:val="006B3EAB"/>
    <w:rsid w:val="006B462B"/>
    <w:rsid w:val="006B4850"/>
    <w:rsid w:val="006B4B94"/>
    <w:rsid w:val="006B4D8C"/>
    <w:rsid w:val="006B4FEE"/>
    <w:rsid w:val="006B53BD"/>
    <w:rsid w:val="006B540C"/>
    <w:rsid w:val="006B5426"/>
    <w:rsid w:val="006B6284"/>
    <w:rsid w:val="006B7B42"/>
    <w:rsid w:val="006C0C86"/>
    <w:rsid w:val="006C11A0"/>
    <w:rsid w:val="006C14D4"/>
    <w:rsid w:val="006C1603"/>
    <w:rsid w:val="006C1AD2"/>
    <w:rsid w:val="006C1C8E"/>
    <w:rsid w:val="006C1FD5"/>
    <w:rsid w:val="006C21EB"/>
    <w:rsid w:val="006C23A7"/>
    <w:rsid w:val="006C3991"/>
    <w:rsid w:val="006C3CB0"/>
    <w:rsid w:val="006C4034"/>
    <w:rsid w:val="006C40FE"/>
    <w:rsid w:val="006C48B2"/>
    <w:rsid w:val="006C4C10"/>
    <w:rsid w:val="006C4E07"/>
    <w:rsid w:val="006C5304"/>
    <w:rsid w:val="006C5B7C"/>
    <w:rsid w:val="006C6876"/>
    <w:rsid w:val="006C6BEB"/>
    <w:rsid w:val="006C6E30"/>
    <w:rsid w:val="006C720B"/>
    <w:rsid w:val="006C75E2"/>
    <w:rsid w:val="006C7F70"/>
    <w:rsid w:val="006D076B"/>
    <w:rsid w:val="006D0796"/>
    <w:rsid w:val="006D0A31"/>
    <w:rsid w:val="006D115A"/>
    <w:rsid w:val="006D1608"/>
    <w:rsid w:val="006D235E"/>
    <w:rsid w:val="006D2CE2"/>
    <w:rsid w:val="006D308F"/>
    <w:rsid w:val="006D3E86"/>
    <w:rsid w:val="006D43E7"/>
    <w:rsid w:val="006D4B33"/>
    <w:rsid w:val="006D5623"/>
    <w:rsid w:val="006D5B41"/>
    <w:rsid w:val="006D6A15"/>
    <w:rsid w:val="006D6E6C"/>
    <w:rsid w:val="006D6FB6"/>
    <w:rsid w:val="006D7589"/>
    <w:rsid w:val="006E0AAC"/>
    <w:rsid w:val="006E0CF7"/>
    <w:rsid w:val="006E0D80"/>
    <w:rsid w:val="006E2F4A"/>
    <w:rsid w:val="006E3178"/>
    <w:rsid w:val="006E3264"/>
    <w:rsid w:val="006E41E6"/>
    <w:rsid w:val="006E450E"/>
    <w:rsid w:val="006E4C96"/>
    <w:rsid w:val="006E539B"/>
    <w:rsid w:val="006E55EB"/>
    <w:rsid w:val="006E5CBC"/>
    <w:rsid w:val="006E5D05"/>
    <w:rsid w:val="006E6234"/>
    <w:rsid w:val="006E64A6"/>
    <w:rsid w:val="006E6740"/>
    <w:rsid w:val="006E68F0"/>
    <w:rsid w:val="006E7607"/>
    <w:rsid w:val="006F184F"/>
    <w:rsid w:val="006F1C9C"/>
    <w:rsid w:val="006F2942"/>
    <w:rsid w:val="006F2F48"/>
    <w:rsid w:val="006F31CE"/>
    <w:rsid w:val="006F3939"/>
    <w:rsid w:val="006F3B12"/>
    <w:rsid w:val="006F3DE3"/>
    <w:rsid w:val="006F4F13"/>
    <w:rsid w:val="006F58EE"/>
    <w:rsid w:val="006F6E58"/>
    <w:rsid w:val="006F7366"/>
    <w:rsid w:val="00700772"/>
    <w:rsid w:val="0070086C"/>
    <w:rsid w:val="00700C13"/>
    <w:rsid w:val="0070196A"/>
    <w:rsid w:val="00701F74"/>
    <w:rsid w:val="007028D0"/>
    <w:rsid w:val="00702E0A"/>
    <w:rsid w:val="00703032"/>
    <w:rsid w:val="0070364A"/>
    <w:rsid w:val="00703E84"/>
    <w:rsid w:val="007041F2"/>
    <w:rsid w:val="0070600F"/>
    <w:rsid w:val="0070611F"/>
    <w:rsid w:val="0070625A"/>
    <w:rsid w:val="00706531"/>
    <w:rsid w:val="0070792E"/>
    <w:rsid w:val="00707EEA"/>
    <w:rsid w:val="00710988"/>
    <w:rsid w:val="0071157F"/>
    <w:rsid w:val="007126A0"/>
    <w:rsid w:val="00712FD0"/>
    <w:rsid w:val="007137E4"/>
    <w:rsid w:val="00713805"/>
    <w:rsid w:val="007141F2"/>
    <w:rsid w:val="0071427F"/>
    <w:rsid w:val="00714B95"/>
    <w:rsid w:val="00714E0C"/>
    <w:rsid w:val="00717851"/>
    <w:rsid w:val="00717976"/>
    <w:rsid w:val="00720561"/>
    <w:rsid w:val="007206A1"/>
    <w:rsid w:val="00720ABA"/>
    <w:rsid w:val="0072142F"/>
    <w:rsid w:val="00721C68"/>
    <w:rsid w:val="00722BC1"/>
    <w:rsid w:val="007231F2"/>
    <w:rsid w:val="007239C7"/>
    <w:rsid w:val="00723DEC"/>
    <w:rsid w:val="00724499"/>
    <w:rsid w:val="00724D3D"/>
    <w:rsid w:val="007258D8"/>
    <w:rsid w:val="00725CBE"/>
    <w:rsid w:val="0072661B"/>
    <w:rsid w:val="00726650"/>
    <w:rsid w:val="00726663"/>
    <w:rsid w:val="007267E0"/>
    <w:rsid w:val="007268E7"/>
    <w:rsid w:val="007272E5"/>
    <w:rsid w:val="00727CA9"/>
    <w:rsid w:val="007306DE"/>
    <w:rsid w:val="00730A8B"/>
    <w:rsid w:val="00730E6A"/>
    <w:rsid w:val="00731E4A"/>
    <w:rsid w:val="007327BC"/>
    <w:rsid w:val="00732B39"/>
    <w:rsid w:val="00733483"/>
    <w:rsid w:val="00733C7E"/>
    <w:rsid w:val="00734D3C"/>
    <w:rsid w:val="00734F6C"/>
    <w:rsid w:val="007356ED"/>
    <w:rsid w:val="00735BF1"/>
    <w:rsid w:val="00735F10"/>
    <w:rsid w:val="0073624D"/>
    <w:rsid w:val="00737D11"/>
    <w:rsid w:val="00737EBE"/>
    <w:rsid w:val="0074015B"/>
    <w:rsid w:val="00740F80"/>
    <w:rsid w:val="00741025"/>
    <w:rsid w:val="007412EF"/>
    <w:rsid w:val="00741726"/>
    <w:rsid w:val="00741AF0"/>
    <w:rsid w:val="00742AAA"/>
    <w:rsid w:val="00742B98"/>
    <w:rsid w:val="00743440"/>
    <w:rsid w:val="007437FB"/>
    <w:rsid w:val="007445A3"/>
    <w:rsid w:val="00744E67"/>
    <w:rsid w:val="007458E8"/>
    <w:rsid w:val="0074691C"/>
    <w:rsid w:val="00746B4F"/>
    <w:rsid w:val="00746D99"/>
    <w:rsid w:val="0074735D"/>
    <w:rsid w:val="0074748A"/>
    <w:rsid w:val="007474DA"/>
    <w:rsid w:val="0074794F"/>
    <w:rsid w:val="00750AE8"/>
    <w:rsid w:val="0075197A"/>
    <w:rsid w:val="00753549"/>
    <w:rsid w:val="00753DB2"/>
    <w:rsid w:val="0075523E"/>
    <w:rsid w:val="00755697"/>
    <w:rsid w:val="00755D35"/>
    <w:rsid w:val="007560C8"/>
    <w:rsid w:val="00756A6B"/>
    <w:rsid w:val="00756BC6"/>
    <w:rsid w:val="007571C8"/>
    <w:rsid w:val="007573F8"/>
    <w:rsid w:val="00757773"/>
    <w:rsid w:val="00757ABC"/>
    <w:rsid w:val="007606AD"/>
    <w:rsid w:val="007607E2"/>
    <w:rsid w:val="00760D3C"/>
    <w:rsid w:val="00761202"/>
    <w:rsid w:val="007614A5"/>
    <w:rsid w:val="0076199C"/>
    <w:rsid w:val="00762B04"/>
    <w:rsid w:val="00762BE5"/>
    <w:rsid w:val="00762DB3"/>
    <w:rsid w:val="007647D0"/>
    <w:rsid w:val="00764875"/>
    <w:rsid w:val="00765536"/>
    <w:rsid w:val="00765D70"/>
    <w:rsid w:val="00766118"/>
    <w:rsid w:val="00767307"/>
    <w:rsid w:val="00767E76"/>
    <w:rsid w:val="0077009E"/>
    <w:rsid w:val="007708F4"/>
    <w:rsid w:val="00770A19"/>
    <w:rsid w:val="00770C84"/>
    <w:rsid w:val="00770E72"/>
    <w:rsid w:val="00770F53"/>
    <w:rsid w:val="00771A01"/>
    <w:rsid w:val="00771CDE"/>
    <w:rsid w:val="00771F08"/>
    <w:rsid w:val="00772037"/>
    <w:rsid w:val="0077346D"/>
    <w:rsid w:val="00773658"/>
    <w:rsid w:val="00773D89"/>
    <w:rsid w:val="00774A37"/>
    <w:rsid w:val="00774A61"/>
    <w:rsid w:val="007755D5"/>
    <w:rsid w:val="00776CD5"/>
    <w:rsid w:val="0077738A"/>
    <w:rsid w:val="007773EC"/>
    <w:rsid w:val="007805C8"/>
    <w:rsid w:val="0078186F"/>
    <w:rsid w:val="0078206E"/>
    <w:rsid w:val="007824D3"/>
    <w:rsid w:val="00783916"/>
    <w:rsid w:val="00784E9C"/>
    <w:rsid w:val="007851F5"/>
    <w:rsid w:val="00785361"/>
    <w:rsid w:val="00785C69"/>
    <w:rsid w:val="00785F3E"/>
    <w:rsid w:val="007869AA"/>
    <w:rsid w:val="00787484"/>
    <w:rsid w:val="0079053A"/>
    <w:rsid w:val="00791C42"/>
    <w:rsid w:val="007921B2"/>
    <w:rsid w:val="00792248"/>
    <w:rsid w:val="007926B1"/>
    <w:rsid w:val="00793223"/>
    <w:rsid w:val="007936D5"/>
    <w:rsid w:val="00793FB8"/>
    <w:rsid w:val="00794360"/>
    <w:rsid w:val="007952D2"/>
    <w:rsid w:val="007958D1"/>
    <w:rsid w:val="00795C50"/>
    <w:rsid w:val="00796A2D"/>
    <w:rsid w:val="00797D6B"/>
    <w:rsid w:val="007A01FE"/>
    <w:rsid w:val="007A0EC9"/>
    <w:rsid w:val="007A18B7"/>
    <w:rsid w:val="007A2C01"/>
    <w:rsid w:val="007A2D78"/>
    <w:rsid w:val="007A35E9"/>
    <w:rsid w:val="007A391C"/>
    <w:rsid w:val="007A43F8"/>
    <w:rsid w:val="007A4D04"/>
    <w:rsid w:val="007A4F97"/>
    <w:rsid w:val="007A5057"/>
    <w:rsid w:val="007A656E"/>
    <w:rsid w:val="007A6D96"/>
    <w:rsid w:val="007B02E1"/>
    <w:rsid w:val="007B0311"/>
    <w:rsid w:val="007B0EBD"/>
    <w:rsid w:val="007B1A89"/>
    <w:rsid w:val="007B1B4D"/>
    <w:rsid w:val="007B1D48"/>
    <w:rsid w:val="007B1FD0"/>
    <w:rsid w:val="007B3276"/>
    <w:rsid w:val="007B3FDA"/>
    <w:rsid w:val="007B4902"/>
    <w:rsid w:val="007B5551"/>
    <w:rsid w:val="007B6035"/>
    <w:rsid w:val="007B6861"/>
    <w:rsid w:val="007B6A68"/>
    <w:rsid w:val="007B6D02"/>
    <w:rsid w:val="007B7D74"/>
    <w:rsid w:val="007B7E6C"/>
    <w:rsid w:val="007C01CD"/>
    <w:rsid w:val="007C0434"/>
    <w:rsid w:val="007C08CB"/>
    <w:rsid w:val="007C098A"/>
    <w:rsid w:val="007C265C"/>
    <w:rsid w:val="007C26C3"/>
    <w:rsid w:val="007C3185"/>
    <w:rsid w:val="007C34AD"/>
    <w:rsid w:val="007C3DF5"/>
    <w:rsid w:val="007C406F"/>
    <w:rsid w:val="007C4142"/>
    <w:rsid w:val="007C4A08"/>
    <w:rsid w:val="007C4B42"/>
    <w:rsid w:val="007C6DB9"/>
    <w:rsid w:val="007C6ED9"/>
    <w:rsid w:val="007C74C9"/>
    <w:rsid w:val="007C78DB"/>
    <w:rsid w:val="007C79D5"/>
    <w:rsid w:val="007C7DF9"/>
    <w:rsid w:val="007D150B"/>
    <w:rsid w:val="007D1530"/>
    <w:rsid w:val="007D1862"/>
    <w:rsid w:val="007D2657"/>
    <w:rsid w:val="007D283D"/>
    <w:rsid w:val="007D2A2D"/>
    <w:rsid w:val="007D320E"/>
    <w:rsid w:val="007D3866"/>
    <w:rsid w:val="007D3A37"/>
    <w:rsid w:val="007D43E7"/>
    <w:rsid w:val="007D4545"/>
    <w:rsid w:val="007D4AB7"/>
    <w:rsid w:val="007D5821"/>
    <w:rsid w:val="007D5F18"/>
    <w:rsid w:val="007D6060"/>
    <w:rsid w:val="007D6A03"/>
    <w:rsid w:val="007E0DA5"/>
    <w:rsid w:val="007E13DA"/>
    <w:rsid w:val="007E18BC"/>
    <w:rsid w:val="007E2D04"/>
    <w:rsid w:val="007E30B0"/>
    <w:rsid w:val="007E35F9"/>
    <w:rsid w:val="007E3E7A"/>
    <w:rsid w:val="007E464F"/>
    <w:rsid w:val="007E4A33"/>
    <w:rsid w:val="007E4B28"/>
    <w:rsid w:val="007E5FE1"/>
    <w:rsid w:val="007E61E5"/>
    <w:rsid w:val="007E688C"/>
    <w:rsid w:val="007E7E3A"/>
    <w:rsid w:val="007F0A93"/>
    <w:rsid w:val="007F0BC0"/>
    <w:rsid w:val="007F13D2"/>
    <w:rsid w:val="007F1B9A"/>
    <w:rsid w:val="007F1FF8"/>
    <w:rsid w:val="007F239B"/>
    <w:rsid w:val="007F26F3"/>
    <w:rsid w:val="007F2CCD"/>
    <w:rsid w:val="007F3279"/>
    <w:rsid w:val="007F340E"/>
    <w:rsid w:val="007F397C"/>
    <w:rsid w:val="007F4092"/>
    <w:rsid w:val="007F4E40"/>
    <w:rsid w:val="007F5B89"/>
    <w:rsid w:val="007F5C8E"/>
    <w:rsid w:val="007F689E"/>
    <w:rsid w:val="007F6DBA"/>
    <w:rsid w:val="007F7FDE"/>
    <w:rsid w:val="0080010D"/>
    <w:rsid w:val="008011AD"/>
    <w:rsid w:val="008017F1"/>
    <w:rsid w:val="00802F21"/>
    <w:rsid w:val="00803AB0"/>
    <w:rsid w:val="00803AEC"/>
    <w:rsid w:val="00803B3C"/>
    <w:rsid w:val="00805825"/>
    <w:rsid w:val="008058DE"/>
    <w:rsid w:val="00806000"/>
    <w:rsid w:val="00806223"/>
    <w:rsid w:val="0080636B"/>
    <w:rsid w:val="00806906"/>
    <w:rsid w:val="008072DE"/>
    <w:rsid w:val="0081090E"/>
    <w:rsid w:val="00811ACD"/>
    <w:rsid w:val="00812E7C"/>
    <w:rsid w:val="0081329F"/>
    <w:rsid w:val="00814E49"/>
    <w:rsid w:val="00815134"/>
    <w:rsid w:val="00815756"/>
    <w:rsid w:val="00815B34"/>
    <w:rsid w:val="00815D12"/>
    <w:rsid w:val="00815E0B"/>
    <w:rsid w:val="0081617D"/>
    <w:rsid w:val="00816446"/>
    <w:rsid w:val="00817AB9"/>
    <w:rsid w:val="00817CBA"/>
    <w:rsid w:val="008201A8"/>
    <w:rsid w:val="00820816"/>
    <w:rsid w:val="00820B81"/>
    <w:rsid w:val="00821DAA"/>
    <w:rsid w:val="0082242C"/>
    <w:rsid w:val="0082276B"/>
    <w:rsid w:val="00822AD7"/>
    <w:rsid w:val="00823256"/>
    <w:rsid w:val="008239DE"/>
    <w:rsid w:val="00823C09"/>
    <w:rsid w:val="00823D57"/>
    <w:rsid w:val="00823E43"/>
    <w:rsid w:val="00824326"/>
    <w:rsid w:val="00824707"/>
    <w:rsid w:val="00824AE6"/>
    <w:rsid w:val="00826191"/>
    <w:rsid w:val="00826F5E"/>
    <w:rsid w:val="0082748F"/>
    <w:rsid w:val="0082767C"/>
    <w:rsid w:val="00827763"/>
    <w:rsid w:val="0082798F"/>
    <w:rsid w:val="00827C60"/>
    <w:rsid w:val="008300E6"/>
    <w:rsid w:val="008302BB"/>
    <w:rsid w:val="008309C5"/>
    <w:rsid w:val="0083163A"/>
    <w:rsid w:val="0083215A"/>
    <w:rsid w:val="00832183"/>
    <w:rsid w:val="00832D85"/>
    <w:rsid w:val="00832FFB"/>
    <w:rsid w:val="0083343E"/>
    <w:rsid w:val="008339F6"/>
    <w:rsid w:val="00833ACF"/>
    <w:rsid w:val="00835A29"/>
    <w:rsid w:val="0083625E"/>
    <w:rsid w:val="00836A1C"/>
    <w:rsid w:val="00836B15"/>
    <w:rsid w:val="0083703E"/>
    <w:rsid w:val="008371E5"/>
    <w:rsid w:val="00840FBA"/>
    <w:rsid w:val="008413E9"/>
    <w:rsid w:val="0084191C"/>
    <w:rsid w:val="00841D5D"/>
    <w:rsid w:val="008429EC"/>
    <w:rsid w:val="00842A1C"/>
    <w:rsid w:val="0084303B"/>
    <w:rsid w:val="00843BBB"/>
    <w:rsid w:val="00843EBD"/>
    <w:rsid w:val="00845052"/>
    <w:rsid w:val="00845912"/>
    <w:rsid w:val="00845933"/>
    <w:rsid w:val="008460C9"/>
    <w:rsid w:val="00846280"/>
    <w:rsid w:val="00846A5A"/>
    <w:rsid w:val="00846BE5"/>
    <w:rsid w:val="00846D5C"/>
    <w:rsid w:val="00846EF2"/>
    <w:rsid w:val="008475F8"/>
    <w:rsid w:val="0084769B"/>
    <w:rsid w:val="00847939"/>
    <w:rsid w:val="0085055B"/>
    <w:rsid w:val="008518C6"/>
    <w:rsid w:val="008519E8"/>
    <w:rsid w:val="00852244"/>
    <w:rsid w:val="00852470"/>
    <w:rsid w:val="0085396D"/>
    <w:rsid w:val="008539E2"/>
    <w:rsid w:val="00854031"/>
    <w:rsid w:val="00854DC2"/>
    <w:rsid w:val="00854DD7"/>
    <w:rsid w:val="008557EA"/>
    <w:rsid w:val="00855FC4"/>
    <w:rsid w:val="008562A2"/>
    <w:rsid w:val="00856509"/>
    <w:rsid w:val="008576FC"/>
    <w:rsid w:val="00860389"/>
    <w:rsid w:val="00861A75"/>
    <w:rsid w:val="00862C45"/>
    <w:rsid w:val="00862E62"/>
    <w:rsid w:val="00863074"/>
    <w:rsid w:val="0086358B"/>
    <w:rsid w:val="008638F7"/>
    <w:rsid w:val="00864EC2"/>
    <w:rsid w:val="008654ED"/>
    <w:rsid w:val="00865AE5"/>
    <w:rsid w:val="00865C58"/>
    <w:rsid w:val="008662D1"/>
    <w:rsid w:val="008664FE"/>
    <w:rsid w:val="00867CCD"/>
    <w:rsid w:val="00870348"/>
    <w:rsid w:val="00870456"/>
    <w:rsid w:val="00871BA7"/>
    <w:rsid w:val="008720D7"/>
    <w:rsid w:val="00872B70"/>
    <w:rsid w:val="00872C69"/>
    <w:rsid w:val="008731F4"/>
    <w:rsid w:val="008732C5"/>
    <w:rsid w:val="008734E1"/>
    <w:rsid w:val="0087357B"/>
    <w:rsid w:val="008738FB"/>
    <w:rsid w:val="00873CB5"/>
    <w:rsid w:val="00873FF2"/>
    <w:rsid w:val="0087402E"/>
    <w:rsid w:val="00874C8B"/>
    <w:rsid w:val="00875154"/>
    <w:rsid w:val="008753AF"/>
    <w:rsid w:val="00875F77"/>
    <w:rsid w:val="0087663E"/>
    <w:rsid w:val="00877596"/>
    <w:rsid w:val="008775BE"/>
    <w:rsid w:val="00877CCE"/>
    <w:rsid w:val="00880152"/>
    <w:rsid w:val="0088017C"/>
    <w:rsid w:val="008802CB"/>
    <w:rsid w:val="0088136E"/>
    <w:rsid w:val="00881D25"/>
    <w:rsid w:val="00882ABD"/>
    <w:rsid w:val="008830F5"/>
    <w:rsid w:val="00883594"/>
    <w:rsid w:val="008839D0"/>
    <w:rsid w:val="0088459C"/>
    <w:rsid w:val="00884813"/>
    <w:rsid w:val="00884AFD"/>
    <w:rsid w:val="00884FF9"/>
    <w:rsid w:val="008855AA"/>
    <w:rsid w:val="00885D7B"/>
    <w:rsid w:val="008864CD"/>
    <w:rsid w:val="008872A9"/>
    <w:rsid w:val="00887997"/>
    <w:rsid w:val="008879AF"/>
    <w:rsid w:val="0089039B"/>
    <w:rsid w:val="00890753"/>
    <w:rsid w:val="00891733"/>
    <w:rsid w:val="0089215A"/>
    <w:rsid w:val="00892825"/>
    <w:rsid w:val="00892B6B"/>
    <w:rsid w:val="00892C9E"/>
    <w:rsid w:val="0089333A"/>
    <w:rsid w:val="0089392F"/>
    <w:rsid w:val="008948A9"/>
    <w:rsid w:val="00894B27"/>
    <w:rsid w:val="008955AB"/>
    <w:rsid w:val="00895A68"/>
    <w:rsid w:val="00895D1E"/>
    <w:rsid w:val="00896CD2"/>
    <w:rsid w:val="00896E3F"/>
    <w:rsid w:val="00896F70"/>
    <w:rsid w:val="008971CC"/>
    <w:rsid w:val="00897626"/>
    <w:rsid w:val="00897AA2"/>
    <w:rsid w:val="008A1F58"/>
    <w:rsid w:val="008A262F"/>
    <w:rsid w:val="008A27DD"/>
    <w:rsid w:val="008A2BFA"/>
    <w:rsid w:val="008A2E8D"/>
    <w:rsid w:val="008A2F14"/>
    <w:rsid w:val="008A33C4"/>
    <w:rsid w:val="008A3ADD"/>
    <w:rsid w:val="008A3D1B"/>
    <w:rsid w:val="008A3D6E"/>
    <w:rsid w:val="008A3F84"/>
    <w:rsid w:val="008A44FF"/>
    <w:rsid w:val="008A4633"/>
    <w:rsid w:val="008A48E7"/>
    <w:rsid w:val="008A4932"/>
    <w:rsid w:val="008A4AC3"/>
    <w:rsid w:val="008A4FD2"/>
    <w:rsid w:val="008A5452"/>
    <w:rsid w:val="008A57A7"/>
    <w:rsid w:val="008B04D1"/>
    <w:rsid w:val="008B14D5"/>
    <w:rsid w:val="008B1720"/>
    <w:rsid w:val="008B17BC"/>
    <w:rsid w:val="008B2F16"/>
    <w:rsid w:val="008B3239"/>
    <w:rsid w:val="008B3992"/>
    <w:rsid w:val="008B3A7B"/>
    <w:rsid w:val="008B3B7B"/>
    <w:rsid w:val="008B568D"/>
    <w:rsid w:val="008B60F2"/>
    <w:rsid w:val="008B6303"/>
    <w:rsid w:val="008B6436"/>
    <w:rsid w:val="008B7397"/>
    <w:rsid w:val="008B75F8"/>
    <w:rsid w:val="008B7868"/>
    <w:rsid w:val="008B7A16"/>
    <w:rsid w:val="008B7F15"/>
    <w:rsid w:val="008C0455"/>
    <w:rsid w:val="008C0491"/>
    <w:rsid w:val="008C08F3"/>
    <w:rsid w:val="008C15A2"/>
    <w:rsid w:val="008C1737"/>
    <w:rsid w:val="008C1C66"/>
    <w:rsid w:val="008C211E"/>
    <w:rsid w:val="008C22B0"/>
    <w:rsid w:val="008C26A2"/>
    <w:rsid w:val="008C26CD"/>
    <w:rsid w:val="008C2C80"/>
    <w:rsid w:val="008C41CD"/>
    <w:rsid w:val="008C4D64"/>
    <w:rsid w:val="008C4E81"/>
    <w:rsid w:val="008C56C8"/>
    <w:rsid w:val="008C57F2"/>
    <w:rsid w:val="008C6312"/>
    <w:rsid w:val="008C67D6"/>
    <w:rsid w:val="008C724D"/>
    <w:rsid w:val="008C72C3"/>
    <w:rsid w:val="008C7573"/>
    <w:rsid w:val="008D07E9"/>
    <w:rsid w:val="008D1752"/>
    <w:rsid w:val="008D2169"/>
    <w:rsid w:val="008D2843"/>
    <w:rsid w:val="008D3C7A"/>
    <w:rsid w:val="008D4701"/>
    <w:rsid w:val="008D4C20"/>
    <w:rsid w:val="008D4F07"/>
    <w:rsid w:val="008D5216"/>
    <w:rsid w:val="008D5A72"/>
    <w:rsid w:val="008D6924"/>
    <w:rsid w:val="008D7400"/>
    <w:rsid w:val="008D7E72"/>
    <w:rsid w:val="008E02EC"/>
    <w:rsid w:val="008E05AD"/>
    <w:rsid w:val="008E07D6"/>
    <w:rsid w:val="008E0988"/>
    <w:rsid w:val="008E0D1F"/>
    <w:rsid w:val="008E2F44"/>
    <w:rsid w:val="008E37AF"/>
    <w:rsid w:val="008E385A"/>
    <w:rsid w:val="008E391C"/>
    <w:rsid w:val="008E3F78"/>
    <w:rsid w:val="008E42FF"/>
    <w:rsid w:val="008E485A"/>
    <w:rsid w:val="008E4A48"/>
    <w:rsid w:val="008E4EC1"/>
    <w:rsid w:val="008E58C3"/>
    <w:rsid w:val="008E593F"/>
    <w:rsid w:val="008E6973"/>
    <w:rsid w:val="008E69D6"/>
    <w:rsid w:val="008F12AB"/>
    <w:rsid w:val="008F204B"/>
    <w:rsid w:val="008F2176"/>
    <w:rsid w:val="008F2456"/>
    <w:rsid w:val="008F2B70"/>
    <w:rsid w:val="008F3EF6"/>
    <w:rsid w:val="008F4B2D"/>
    <w:rsid w:val="008F4DEA"/>
    <w:rsid w:val="008F54B2"/>
    <w:rsid w:val="008F55DC"/>
    <w:rsid w:val="008F5628"/>
    <w:rsid w:val="008F5853"/>
    <w:rsid w:val="008F5F1E"/>
    <w:rsid w:val="008F7FDC"/>
    <w:rsid w:val="00900D36"/>
    <w:rsid w:val="0090165F"/>
    <w:rsid w:val="00901D8E"/>
    <w:rsid w:val="00902E1B"/>
    <w:rsid w:val="00902F85"/>
    <w:rsid w:val="0090324B"/>
    <w:rsid w:val="009043B4"/>
    <w:rsid w:val="00904C61"/>
    <w:rsid w:val="009060D4"/>
    <w:rsid w:val="0090619E"/>
    <w:rsid w:val="00906D38"/>
    <w:rsid w:val="00907521"/>
    <w:rsid w:val="00907829"/>
    <w:rsid w:val="009107A3"/>
    <w:rsid w:val="00910B46"/>
    <w:rsid w:val="009113C8"/>
    <w:rsid w:val="00911728"/>
    <w:rsid w:val="00911A3C"/>
    <w:rsid w:val="00911D9F"/>
    <w:rsid w:val="009125D2"/>
    <w:rsid w:val="00912EA9"/>
    <w:rsid w:val="00912FE5"/>
    <w:rsid w:val="009133C4"/>
    <w:rsid w:val="00913935"/>
    <w:rsid w:val="00913C01"/>
    <w:rsid w:val="00914413"/>
    <w:rsid w:val="00914A20"/>
    <w:rsid w:val="00914B3B"/>
    <w:rsid w:val="00914DCA"/>
    <w:rsid w:val="00915D56"/>
    <w:rsid w:val="009163AD"/>
    <w:rsid w:val="009164B0"/>
    <w:rsid w:val="00917366"/>
    <w:rsid w:val="00920270"/>
    <w:rsid w:val="0092078F"/>
    <w:rsid w:val="00920A2D"/>
    <w:rsid w:val="0092134A"/>
    <w:rsid w:val="00921522"/>
    <w:rsid w:val="0092204C"/>
    <w:rsid w:val="009229CB"/>
    <w:rsid w:val="00922FE4"/>
    <w:rsid w:val="009232DC"/>
    <w:rsid w:val="00923448"/>
    <w:rsid w:val="0092483F"/>
    <w:rsid w:val="0092515E"/>
    <w:rsid w:val="00925338"/>
    <w:rsid w:val="0092542B"/>
    <w:rsid w:val="009258BB"/>
    <w:rsid w:val="00931033"/>
    <w:rsid w:val="009319B3"/>
    <w:rsid w:val="00931B2F"/>
    <w:rsid w:val="00931ECE"/>
    <w:rsid w:val="00932304"/>
    <w:rsid w:val="0093406F"/>
    <w:rsid w:val="009349E5"/>
    <w:rsid w:val="00934D83"/>
    <w:rsid w:val="00934F5D"/>
    <w:rsid w:val="00935331"/>
    <w:rsid w:val="009357CF"/>
    <w:rsid w:val="00935AA2"/>
    <w:rsid w:val="00935BB8"/>
    <w:rsid w:val="0093607C"/>
    <w:rsid w:val="00936C74"/>
    <w:rsid w:val="00936F11"/>
    <w:rsid w:val="009373DF"/>
    <w:rsid w:val="00937917"/>
    <w:rsid w:val="00937A1D"/>
    <w:rsid w:val="00940C97"/>
    <w:rsid w:val="00940C98"/>
    <w:rsid w:val="00941601"/>
    <w:rsid w:val="00941B24"/>
    <w:rsid w:val="0094229E"/>
    <w:rsid w:val="009425BF"/>
    <w:rsid w:val="0094332B"/>
    <w:rsid w:val="009436AC"/>
    <w:rsid w:val="009437FA"/>
    <w:rsid w:val="00943DAA"/>
    <w:rsid w:val="00944F8E"/>
    <w:rsid w:val="009456F2"/>
    <w:rsid w:val="00945DFF"/>
    <w:rsid w:val="0094630D"/>
    <w:rsid w:val="0094667E"/>
    <w:rsid w:val="00946903"/>
    <w:rsid w:val="00946D75"/>
    <w:rsid w:val="00946F42"/>
    <w:rsid w:val="00947253"/>
    <w:rsid w:val="00947900"/>
    <w:rsid w:val="0094799D"/>
    <w:rsid w:val="00947B1C"/>
    <w:rsid w:val="0095050E"/>
    <w:rsid w:val="00950529"/>
    <w:rsid w:val="00950635"/>
    <w:rsid w:val="009518AF"/>
    <w:rsid w:val="00951E1A"/>
    <w:rsid w:val="0095358D"/>
    <w:rsid w:val="00953BE6"/>
    <w:rsid w:val="00954AEB"/>
    <w:rsid w:val="009553AF"/>
    <w:rsid w:val="00956A58"/>
    <w:rsid w:val="00956C2D"/>
    <w:rsid w:val="009573FB"/>
    <w:rsid w:val="009603D9"/>
    <w:rsid w:val="0096043F"/>
    <w:rsid w:val="00960785"/>
    <w:rsid w:val="00960B2D"/>
    <w:rsid w:val="00961AC5"/>
    <w:rsid w:val="009625E6"/>
    <w:rsid w:val="00962BD5"/>
    <w:rsid w:val="00962C5E"/>
    <w:rsid w:val="009641C0"/>
    <w:rsid w:val="00964865"/>
    <w:rsid w:val="00965D49"/>
    <w:rsid w:val="0096607D"/>
    <w:rsid w:val="00967539"/>
    <w:rsid w:val="0096774A"/>
    <w:rsid w:val="009715D2"/>
    <w:rsid w:val="00971EF0"/>
    <w:rsid w:val="00972138"/>
    <w:rsid w:val="00972B21"/>
    <w:rsid w:val="009748DC"/>
    <w:rsid w:val="009751B5"/>
    <w:rsid w:val="00975243"/>
    <w:rsid w:val="00975530"/>
    <w:rsid w:val="00976885"/>
    <w:rsid w:val="00977D5F"/>
    <w:rsid w:val="00980C31"/>
    <w:rsid w:val="00980D72"/>
    <w:rsid w:val="0098107A"/>
    <w:rsid w:val="009811E8"/>
    <w:rsid w:val="009813E5"/>
    <w:rsid w:val="0098147B"/>
    <w:rsid w:val="0098207F"/>
    <w:rsid w:val="009822E1"/>
    <w:rsid w:val="009830E0"/>
    <w:rsid w:val="00983931"/>
    <w:rsid w:val="00984B89"/>
    <w:rsid w:val="00985229"/>
    <w:rsid w:val="009858C9"/>
    <w:rsid w:val="00985B8A"/>
    <w:rsid w:val="0098714B"/>
    <w:rsid w:val="00987229"/>
    <w:rsid w:val="00990AC9"/>
    <w:rsid w:val="00991B6D"/>
    <w:rsid w:val="00991D81"/>
    <w:rsid w:val="009924C3"/>
    <w:rsid w:val="00992DFC"/>
    <w:rsid w:val="00993487"/>
    <w:rsid w:val="00993B23"/>
    <w:rsid w:val="00993DB1"/>
    <w:rsid w:val="009940A3"/>
    <w:rsid w:val="009947DC"/>
    <w:rsid w:val="00994B4B"/>
    <w:rsid w:val="00994B8B"/>
    <w:rsid w:val="00994D86"/>
    <w:rsid w:val="0099515F"/>
    <w:rsid w:val="00995209"/>
    <w:rsid w:val="0099679F"/>
    <w:rsid w:val="009971D1"/>
    <w:rsid w:val="0099766B"/>
    <w:rsid w:val="00997FBE"/>
    <w:rsid w:val="009A088E"/>
    <w:rsid w:val="009A0BB5"/>
    <w:rsid w:val="009A10F7"/>
    <w:rsid w:val="009A123D"/>
    <w:rsid w:val="009A1BC4"/>
    <w:rsid w:val="009A24B8"/>
    <w:rsid w:val="009A2628"/>
    <w:rsid w:val="009A27A2"/>
    <w:rsid w:val="009A3064"/>
    <w:rsid w:val="009A3322"/>
    <w:rsid w:val="009A3527"/>
    <w:rsid w:val="009A35D9"/>
    <w:rsid w:val="009A4952"/>
    <w:rsid w:val="009A5811"/>
    <w:rsid w:val="009A5CC5"/>
    <w:rsid w:val="009A5F16"/>
    <w:rsid w:val="009A61BA"/>
    <w:rsid w:val="009A640D"/>
    <w:rsid w:val="009A6AD0"/>
    <w:rsid w:val="009A73CE"/>
    <w:rsid w:val="009A7F18"/>
    <w:rsid w:val="009B0404"/>
    <w:rsid w:val="009B071D"/>
    <w:rsid w:val="009B15F3"/>
    <w:rsid w:val="009B23F9"/>
    <w:rsid w:val="009B32B1"/>
    <w:rsid w:val="009B3FF2"/>
    <w:rsid w:val="009B5709"/>
    <w:rsid w:val="009B6563"/>
    <w:rsid w:val="009B682D"/>
    <w:rsid w:val="009B696E"/>
    <w:rsid w:val="009B7449"/>
    <w:rsid w:val="009C002B"/>
    <w:rsid w:val="009C07BC"/>
    <w:rsid w:val="009C0D0B"/>
    <w:rsid w:val="009C1058"/>
    <w:rsid w:val="009C19B9"/>
    <w:rsid w:val="009C1DBB"/>
    <w:rsid w:val="009C2EA8"/>
    <w:rsid w:val="009C3A5D"/>
    <w:rsid w:val="009C4FE1"/>
    <w:rsid w:val="009C5635"/>
    <w:rsid w:val="009C56CB"/>
    <w:rsid w:val="009C57FD"/>
    <w:rsid w:val="009C64B5"/>
    <w:rsid w:val="009C6BAC"/>
    <w:rsid w:val="009C6BF4"/>
    <w:rsid w:val="009D025C"/>
    <w:rsid w:val="009D1153"/>
    <w:rsid w:val="009D1920"/>
    <w:rsid w:val="009D25FD"/>
    <w:rsid w:val="009D29FB"/>
    <w:rsid w:val="009D329B"/>
    <w:rsid w:val="009D3BED"/>
    <w:rsid w:val="009D4136"/>
    <w:rsid w:val="009D4AA8"/>
    <w:rsid w:val="009D5144"/>
    <w:rsid w:val="009D60D0"/>
    <w:rsid w:val="009D60E7"/>
    <w:rsid w:val="009D6173"/>
    <w:rsid w:val="009D657B"/>
    <w:rsid w:val="009D6725"/>
    <w:rsid w:val="009D6B0D"/>
    <w:rsid w:val="009D6B16"/>
    <w:rsid w:val="009D6F85"/>
    <w:rsid w:val="009D6FFA"/>
    <w:rsid w:val="009D7FE8"/>
    <w:rsid w:val="009E0009"/>
    <w:rsid w:val="009E0AA2"/>
    <w:rsid w:val="009E0D76"/>
    <w:rsid w:val="009E1170"/>
    <w:rsid w:val="009E1CAF"/>
    <w:rsid w:val="009E1E32"/>
    <w:rsid w:val="009E3175"/>
    <w:rsid w:val="009E3922"/>
    <w:rsid w:val="009E3CFB"/>
    <w:rsid w:val="009E430F"/>
    <w:rsid w:val="009E6503"/>
    <w:rsid w:val="009E653F"/>
    <w:rsid w:val="009E6B57"/>
    <w:rsid w:val="009E71D5"/>
    <w:rsid w:val="009F11BF"/>
    <w:rsid w:val="009F1638"/>
    <w:rsid w:val="009F2B6C"/>
    <w:rsid w:val="009F33C9"/>
    <w:rsid w:val="009F3992"/>
    <w:rsid w:val="009F3B1E"/>
    <w:rsid w:val="009F3D31"/>
    <w:rsid w:val="009F3DB1"/>
    <w:rsid w:val="009F42C5"/>
    <w:rsid w:val="009F47C8"/>
    <w:rsid w:val="009F4C9B"/>
    <w:rsid w:val="009F524E"/>
    <w:rsid w:val="009F6B8B"/>
    <w:rsid w:val="009F7AE7"/>
    <w:rsid w:val="00A00779"/>
    <w:rsid w:val="00A00F65"/>
    <w:rsid w:val="00A0123F"/>
    <w:rsid w:val="00A02BD8"/>
    <w:rsid w:val="00A031D7"/>
    <w:rsid w:val="00A034F0"/>
    <w:rsid w:val="00A035CE"/>
    <w:rsid w:val="00A039CF"/>
    <w:rsid w:val="00A04380"/>
    <w:rsid w:val="00A04434"/>
    <w:rsid w:val="00A05378"/>
    <w:rsid w:val="00A05639"/>
    <w:rsid w:val="00A0564B"/>
    <w:rsid w:val="00A059FA"/>
    <w:rsid w:val="00A05DC7"/>
    <w:rsid w:val="00A06626"/>
    <w:rsid w:val="00A079E3"/>
    <w:rsid w:val="00A07BE0"/>
    <w:rsid w:val="00A109C1"/>
    <w:rsid w:val="00A10B6E"/>
    <w:rsid w:val="00A10C79"/>
    <w:rsid w:val="00A10D37"/>
    <w:rsid w:val="00A10F7B"/>
    <w:rsid w:val="00A11BE9"/>
    <w:rsid w:val="00A1208D"/>
    <w:rsid w:val="00A1279A"/>
    <w:rsid w:val="00A13210"/>
    <w:rsid w:val="00A13655"/>
    <w:rsid w:val="00A14043"/>
    <w:rsid w:val="00A1428B"/>
    <w:rsid w:val="00A15E20"/>
    <w:rsid w:val="00A17AEA"/>
    <w:rsid w:val="00A2099E"/>
    <w:rsid w:val="00A20A6A"/>
    <w:rsid w:val="00A21DAD"/>
    <w:rsid w:val="00A2222B"/>
    <w:rsid w:val="00A22AE6"/>
    <w:rsid w:val="00A22DF5"/>
    <w:rsid w:val="00A23892"/>
    <w:rsid w:val="00A23D9F"/>
    <w:rsid w:val="00A2448A"/>
    <w:rsid w:val="00A26748"/>
    <w:rsid w:val="00A272CE"/>
    <w:rsid w:val="00A27571"/>
    <w:rsid w:val="00A276F5"/>
    <w:rsid w:val="00A27903"/>
    <w:rsid w:val="00A3093A"/>
    <w:rsid w:val="00A31A6A"/>
    <w:rsid w:val="00A32153"/>
    <w:rsid w:val="00A32910"/>
    <w:rsid w:val="00A3294E"/>
    <w:rsid w:val="00A332B2"/>
    <w:rsid w:val="00A336A8"/>
    <w:rsid w:val="00A337CD"/>
    <w:rsid w:val="00A338DE"/>
    <w:rsid w:val="00A34693"/>
    <w:rsid w:val="00A34729"/>
    <w:rsid w:val="00A347B1"/>
    <w:rsid w:val="00A353B9"/>
    <w:rsid w:val="00A361A2"/>
    <w:rsid w:val="00A36381"/>
    <w:rsid w:val="00A37948"/>
    <w:rsid w:val="00A37BD0"/>
    <w:rsid w:val="00A4034C"/>
    <w:rsid w:val="00A409E7"/>
    <w:rsid w:val="00A41584"/>
    <w:rsid w:val="00A419BD"/>
    <w:rsid w:val="00A426CB"/>
    <w:rsid w:val="00A42C7F"/>
    <w:rsid w:val="00A42C82"/>
    <w:rsid w:val="00A436A1"/>
    <w:rsid w:val="00A439DF"/>
    <w:rsid w:val="00A43BB4"/>
    <w:rsid w:val="00A44229"/>
    <w:rsid w:val="00A44862"/>
    <w:rsid w:val="00A44F37"/>
    <w:rsid w:val="00A45229"/>
    <w:rsid w:val="00A45A93"/>
    <w:rsid w:val="00A45C0A"/>
    <w:rsid w:val="00A463F4"/>
    <w:rsid w:val="00A473C8"/>
    <w:rsid w:val="00A4745C"/>
    <w:rsid w:val="00A5082E"/>
    <w:rsid w:val="00A508FA"/>
    <w:rsid w:val="00A50E03"/>
    <w:rsid w:val="00A51190"/>
    <w:rsid w:val="00A5274A"/>
    <w:rsid w:val="00A529E2"/>
    <w:rsid w:val="00A52A96"/>
    <w:rsid w:val="00A53A42"/>
    <w:rsid w:val="00A546DC"/>
    <w:rsid w:val="00A554BE"/>
    <w:rsid w:val="00A55ACD"/>
    <w:rsid w:val="00A561FA"/>
    <w:rsid w:val="00A570FA"/>
    <w:rsid w:val="00A57720"/>
    <w:rsid w:val="00A60B7C"/>
    <w:rsid w:val="00A60CA8"/>
    <w:rsid w:val="00A6120C"/>
    <w:rsid w:val="00A61564"/>
    <w:rsid w:val="00A62486"/>
    <w:rsid w:val="00A63D08"/>
    <w:rsid w:val="00A64448"/>
    <w:rsid w:val="00A646E0"/>
    <w:rsid w:val="00A653F6"/>
    <w:rsid w:val="00A66635"/>
    <w:rsid w:val="00A67291"/>
    <w:rsid w:val="00A70677"/>
    <w:rsid w:val="00A719FC"/>
    <w:rsid w:val="00A71AE4"/>
    <w:rsid w:val="00A71F46"/>
    <w:rsid w:val="00A72075"/>
    <w:rsid w:val="00A72856"/>
    <w:rsid w:val="00A72C2E"/>
    <w:rsid w:val="00A736B3"/>
    <w:rsid w:val="00A73990"/>
    <w:rsid w:val="00A73AB5"/>
    <w:rsid w:val="00A7434C"/>
    <w:rsid w:val="00A744E7"/>
    <w:rsid w:val="00A74A23"/>
    <w:rsid w:val="00A74F1F"/>
    <w:rsid w:val="00A75390"/>
    <w:rsid w:val="00A7570C"/>
    <w:rsid w:val="00A761AB"/>
    <w:rsid w:val="00A76E3D"/>
    <w:rsid w:val="00A772E3"/>
    <w:rsid w:val="00A80587"/>
    <w:rsid w:val="00A80961"/>
    <w:rsid w:val="00A80B86"/>
    <w:rsid w:val="00A81D20"/>
    <w:rsid w:val="00A81ED5"/>
    <w:rsid w:val="00A8238E"/>
    <w:rsid w:val="00A825CB"/>
    <w:rsid w:val="00A82E07"/>
    <w:rsid w:val="00A842CC"/>
    <w:rsid w:val="00A843CD"/>
    <w:rsid w:val="00A845B9"/>
    <w:rsid w:val="00A84A7E"/>
    <w:rsid w:val="00A85825"/>
    <w:rsid w:val="00A85F7A"/>
    <w:rsid w:val="00A860FA"/>
    <w:rsid w:val="00A863BF"/>
    <w:rsid w:val="00A869DF"/>
    <w:rsid w:val="00A86E96"/>
    <w:rsid w:val="00A876BB"/>
    <w:rsid w:val="00A878D1"/>
    <w:rsid w:val="00A903AD"/>
    <w:rsid w:val="00A916BD"/>
    <w:rsid w:val="00A919E1"/>
    <w:rsid w:val="00A91D7B"/>
    <w:rsid w:val="00A9282C"/>
    <w:rsid w:val="00A93A6A"/>
    <w:rsid w:val="00A93FB2"/>
    <w:rsid w:val="00A9405B"/>
    <w:rsid w:val="00A94BA1"/>
    <w:rsid w:val="00A94D71"/>
    <w:rsid w:val="00A94EE0"/>
    <w:rsid w:val="00A94FA5"/>
    <w:rsid w:val="00A9546F"/>
    <w:rsid w:val="00A957C8"/>
    <w:rsid w:val="00A96353"/>
    <w:rsid w:val="00A97299"/>
    <w:rsid w:val="00A97C61"/>
    <w:rsid w:val="00AA04DA"/>
    <w:rsid w:val="00AA0A2D"/>
    <w:rsid w:val="00AA0DDC"/>
    <w:rsid w:val="00AA1A01"/>
    <w:rsid w:val="00AA24FD"/>
    <w:rsid w:val="00AA25A9"/>
    <w:rsid w:val="00AA3772"/>
    <w:rsid w:val="00AA3C8F"/>
    <w:rsid w:val="00AA41AB"/>
    <w:rsid w:val="00AA4446"/>
    <w:rsid w:val="00AA4C1D"/>
    <w:rsid w:val="00AA4D8F"/>
    <w:rsid w:val="00AA4F9D"/>
    <w:rsid w:val="00AA5EAD"/>
    <w:rsid w:val="00AA5EBA"/>
    <w:rsid w:val="00AA66DD"/>
    <w:rsid w:val="00AA6945"/>
    <w:rsid w:val="00AA6ACB"/>
    <w:rsid w:val="00AA6D0D"/>
    <w:rsid w:val="00AA7260"/>
    <w:rsid w:val="00AA72FC"/>
    <w:rsid w:val="00AB03EF"/>
    <w:rsid w:val="00AB047F"/>
    <w:rsid w:val="00AB0AF5"/>
    <w:rsid w:val="00AB2766"/>
    <w:rsid w:val="00AB3026"/>
    <w:rsid w:val="00AB4084"/>
    <w:rsid w:val="00AB4EF8"/>
    <w:rsid w:val="00AB52DA"/>
    <w:rsid w:val="00AB56BA"/>
    <w:rsid w:val="00AB5BB2"/>
    <w:rsid w:val="00AB62BD"/>
    <w:rsid w:val="00AB674A"/>
    <w:rsid w:val="00AB6B92"/>
    <w:rsid w:val="00AB7042"/>
    <w:rsid w:val="00AB71A2"/>
    <w:rsid w:val="00AC16BC"/>
    <w:rsid w:val="00AC171E"/>
    <w:rsid w:val="00AC254D"/>
    <w:rsid w:val="00AC53C9"/>
    <w:rsid w:val="00AC54D1"/>
    <w:rsid w:val="00AC5C70"/>
    <w:rsid w:val="00AC648D"/>
    <w:rsid w:val="00AC70A2"/>
    <w:rsid w:val="00AD044D"/>
    <w:rsid w:val="00AD047A"/>
    <w:rsid w:val="00AD0F7F"/>
    <w:rsid w:val="00AD126F"/>
    <w:rsid w:val="00AD135E"/>
    <w:rsid w:val="00AD1780"/>
    <w:rsid w:val="00AD185C"/>
    <w:rsid w:val="00AD1F83"/>
    <w:rsid w:val="00AD22DB"/>
    <w:rsid w:val="00AD296E"/>
    <w:rsid w:val="00AD39EF"/>
    <w:rsid w:val="00AD4469"/>
    <w:rsid w:val="00AD48A4"/>
    <w:rsid w:val="00AD4D17"/>
    <w:rsid w:val="00AD4F4B"/>
    <w:rsid w:val="00AD5159"/>
    <w:rsid w:val="00AD56F0"/>
    <w:rsid w:val="00AD59AF"/>
    <w:rsid w:val="00AD70BF"/>
    <w:rsid w:val="00AD72FB"/>
    <w:rsid w:val="00AE089F"/>
    <w:rsid w:val="00AE0C12"/>
    <w:rsid w:val="00AE171B"/>
    <w:rsid w:val="00AE28DA"/>
    <w:rsid w:val="00AE2CA3"/>
    <w:rsid w:val="00AE2E19"/>
    <w:rsid w:val="00AE4263"/>
    <w:rsid w:val="00AE4E5F"/>
    <w:rsid w:val="00AE5213"/>
    <w:rsid w:val="00AE6389"/>
    <w:rsid w:val="00AE651E"/>
    <w:rsid w:val="00AE6645"/>
    <w:rsid w:val="00AE7772"/>
    <w:rsid w:val="00AF037B"/>
    <w:rsid w:val="00AF1293"/>
    <w:rsid w:val="00AF18D1"/>
    <w:rsid w:val="00AF206B"/>
    <w:rsid w:val="00AF29EF"/>
    <w:rsid w:val="00AF2B71"/>
    <w:rsid w:val="00AF2E3E"/>
    <w:rsid w:val="00AF2ED7"/>
    <w:rsid w:val="00AF2F4C"/>
    <w:rsid w:val="00AF3932"/>
    <w:rsid w:val="00AF3D64"/>
    <w:rsid w:val="00AF4254"/>
    <w:rsid w:val="00AF4974"/>
    <w:rsid w:val="00AF4B4F"/>
    <w:rsid w:val="00AF4F4C"/>
    <w:rsid w:val="00AF5881"/>
    <w:rsid w:val="00AF6552"/>
    <w:rsid w:val="00AF7B8B"/>
    <w:rsid w:val="00B01324"/>
    <w:rsid w:val="00B0191D"/>
    <w:rsid w:val="00B02548"/>
    <w:rsid w:val="00B02F5A"/>
    <w:rsid w:val="00B0309F"/>
    <w:rsid w:val="00B03295"/>
    <w:rsid w:val="00B03824"/>
    <w:rsid w:val="00B04317"/>
    <w:rsid w:val="00B0461C"/>
    <w:rsid w:val="00B04984"/>
    <w:rsid w:val="00B0569C"/>
    <w:rsid w:val="00B0607A"/>
    <w:rsid w:val="00B06BDB"/>
    <w:rsid w:val="00B06CF5"/>
    <w:rsid w:val="00B07312"/>
    <w:rsid w:val="00B07D6D"/>
    <w:rsid w:val="00B103D8"/>
    <w:rsid w:val="00B11019"/>
    <w:rsid w:val="00B1278A"/>
    <w:rsid w:val="00B129DE"/>
    <w:rsid w:val="00B13605"/>
    <w:rsid w:val="00B13988"/>
    <w:rsid w:val="00B13BC4"/>
    <w:rsid w:val="00B13BF4"/>
    <w:rsid w:val="00B13F6F"/>
    <w:rsid w:val="00B147A4"/>
    <w:rsid w:val="00B148F1"/>
    <w:rsid w:val="00B14A90"/>
    <w:rsid w:val="00B15092"/>
    <w:rsid w:val="00B155A8"/>
    <w:rsid w:val="00B1658F"/>
    <w:rsid w:val="00B16EE7"/>
    <w:rsid w:val="00B1729E"/>
    <w:rsid w:val="00B173E2"/>
    <w:rsid w:val="00B179BB"/>
    <w:rsid w:val="00B2045F"/>
    <w:rsid w:val="00B2097B"/>
    <w:rsid w:val="00B20C23"/>
    <w:rsid w:val="00B215E8"/>
    <w:rsid w:val="00B21DCB"/>
    <w:rsid w:val="00B22276"/>
    <w:rsid w:val="00B22D0C"/>
    <w:rsid w:val="00B22E36"/>
    <w:rsid w:val="00B23733"/>
    <w:rsid w:val="00B23F4B"/>
    <w:rsid w:val="00B2470E"/>
    <w:rsid w:val="00B247BC"/>
    <w:rsid w:val="00B24960"/>
    <w:rsid w:val="00B24A34"/>
    <w:rsid w:val="00B24D5A"/>
    <w:rsid w:val="00B2532F"/>
    <w:rsid w:val="00B26581"/>
    <w:rsid w:val="00B27E05"/>
    <w:rsid w:val="00B27F16"/>
    <w:rsid w:val="00B308EB"/>
    <w:rsid w:val="00B31D1B"/>
    <w:rsid w:val="00B32403"/>
    <w:rsid w:val="00B32C7F"/>
    <w:rsid w:val="00B3352E"/>
    <w:rsid w:val="00B33C59"/>
    <w:rsid w:val="00B3404A"/>
    <w:rsid w:val="00B3439A"/>
    <w:rsid w:val="00B346EC"/>
    <w:rsid w:val="00B347B4"/>
    <w:rsid w:val="00B35096"/>
    <w:rsid w:val="00B3518F"/>
    <w:rsid w:val="00B35278"/>
    <w:rsid w:val="00B36453"/>
    <w:rsid w:val="00B37AE6"/>
    <w:rsid w:val="00B37FD2"/>
    <w:rsid w:val="00B40AD7"/>
    <w:rsid w:val="00B40F64"/>
    <w:rsid w:val="00B41909"/>
    <w:rsid w:val="00B41AA1"/>
    <w:rsid w:val="00B4219B"/>
    <w:rsid w:val="00B44115"/>
    <w:rsid w:val="00B445EC"/>
    <w:rsid w:val="00B45938"/>
    <w:rsid w:val="00B467BC"/>
    <w:rsid w:val="00B478E7"/>
    <w:rsid w:val="00B47D4A"/>
    <w:rsid w:val="00B47E73"/>
    <w:rsid w:val="00B50C3A"/>
    <w:rsid w:val="00B5183C"/>
    <w:rsid w:val="00B51E76"/>
    <w:rsid w:val="00B51ECF"/>
    <w:rsid w:val="00B5217C"/>
    <w:rsid w:val="00B52445"/>
    <w:rsid w:val="00B52C77"/>
    <w:rsid w:val="00B53931"/>
    <w:rsid w:val="00B53D36"/>
    <w:rsid w:val="00B54370"/>
    <w:rsid w:val="00B544BC"/>
    <w:rsid w:val="00B54E61"/>
    <w:rsid w:val="00B55350"/>
    <w:rsid w:val="00B5541A"/>
    <w:rsid w:val="00B55A19"/>
    <w:rsid w:val="00B55CBA"/>
    <w:rsid w:val="00B55D19"/>
    <w:rsid w:val="00B573DA"/>
    <w:rsid w:val="00B615F4"/>
    <w:rsid w:val="00B6163B"/>
    <w:rsid w:val="00B617E5"/>
    <w:rsid w:val="00B6182A"/>
    <w:rsid w:val="00B6301C"/>
    <w:rsid w:val="00B63575"/>
    <w:rsid w:val="00B64104"/>
    <w:rsid w:val="00B64109"/>
    <w:rsid w:val="00B6427A"/>
    <w:rsid w:val="00B65248"/>
    <w:rsid w:val="00B6540B"/>
    <w:rsid w:val="00B65955"/>
    <w:rsid w:val="00B6596B"/>
    <w:rsid w:val="00B66836"/>
    <w:rsid w:val="00B66CC0"/>
    <w:rsid w:val="00B66EE2"/>
    <w:rsid w:val="00B671BB"/>
    <w:rsid w:val="00B70957"/>
    <w:rsid w:val="00B7099D"/>
    <w:rsid w:val="00B71F42"/>
    <w:rsid w:val="00B72251"/>
    <w:rsid w:val="00B7230E"/>
    <w:rsid w:val="00B7234E"/>
    <w:rsid w:val="00B72721"/>
    <w:rsid w:val="00B745D5"/>
    <w:rsid w:val="00B74700"/>
    <w:rsid w:val="00B74DFF"/>
    <w:rsid w:val="00B75BE3"/>
    <w:rsid w:val="00B7600F"/>
    <w:rsid w:val="00B7610F"/>
    <w:rsid w:val="00B76DAE"/>
    <w:rsid w:val="00B80022"/>
    <w:rsid w:val="00B805F5"/>
    <w:rsid w:val="00B809B7"/>
    <w:rsid w:val="00B809CB"/>
    <w:rsid w:val="00B80C7A"/>
    <w:rsid w:val="00B80E9A"/>
    <w:rsid w:val="00B81201"/>
    <w:rsid w:val="00B8124A"/>
    <w:rsid w:val="00B8168E"/>
    <w:rsid w:val="00B81DE1"/>
    <w:rsid w:val="00B8229D"/>
    <w:rsid w:val="00B831C0"/>
    <w:rsid w:val="00B83647"/>
    <w:rsid w:val="00B83964"/>
    <w:rsid w:val="00B83F4A"/>
    <w:rsid w:val="00B84EE5"/>
    <w:rsid w:val="00B85758"/>
    <w:rsid w:val="00B86089"/>
    <w:rsid w:val="00B87063"/>
    <w:rsid w:val="00B901CF"/>
    <w:rsid w:val="00B91713"/>
    <w:rsid w:val="00B9197E"/>
    <w:rsid w:val="00B91D07"/>
    <w:rsid w:val="00B92118"/>
    <w:rsid w:val="00B93B86"/>
    <w:rsid w:val="00B93D7E"/>
    <w:rsid w:val="00B94E5E"/>
    <w:rsid w:val="00B9508D"/>
    <w:rsid w:val="00B9511F"/>
    <w:rsid w:val="00B95242"/>
    <w:rsid w:val="00B9543B"/>
    <w:rsid w:val="00B95C8E"/>
    <w:rsid w:val="00B961FA"/>
    <w:rsid w:val="00B96232"/>
    <w:rsid w:val="00B963C5"/>
    <w:rsid w:val="00B97DB4"/>
    <w:rsid w:val="00BA04E5"/>
    <w:rsid w:val="00BA058E"/>
    <w:rsid w:val="00BA083F"/>
    <w:rsid w:val="00BA1881"/>
    <w:rsid w:val="00BA199E"/>
    <w:rsid w:val="00BA208C"/>
    <w:rsid w:val="00BA3CDC"/>
    <w:rsid w:val="00BA4DAC"/>
    <w:rsid w:val="00BA4E56"/>
    <w:rsid w:val="00BA566B"/>
    <w:rsid w:val="00BA56A5"/>
    <w:rsid w:val="00BA5AFB"/>
    <w:rsid w:val="00BA5F4B"/>
    <w:rsid w:val="00BA608C"/>
    <w:rsid w:val="00BA6485"/>
    <w:rsid w:val="00BA6AFE"/>
    <w:rsid w:val="00BA6D65"/>
    <w:rsid w:val="00BA6E62"/>
    <w:rsid w:val="00BA70F2"/>
    <w:rsid w:val="00BA7738"/>
    <w:rsid w:val="00BA7DB4"/>
    <w:rsid w:val="00BB0106"/>
    <w:rsid w:val="00BB0859"/>
    <w:rsid w:val="00BB0B0B"/>
    <w:rsid w:val="00BB0B6A"/>
    <w:rsid w:val="00BB13CE"/>
    <w:rsid w:val="00BB2ECE"/>
    <w:rsid w:val="00BB3762"/>
    <w:rsid w:val="00BB38C1"/>
    <w:rsid w:val="00BB3B24"/>
    <w:rsid w:val="00BB4A40"/>
    <w:rsid w:val="00BB51C4"/>
    <w:rsid w:val="00BB667B"/>
    <w:rsid w:val="00BB66F7"/>
    <w:rsid w:val="00BB69B6"/>
    <w:rsid w:val="00BB6BA5"/>
    <w:rsid w:val="00BB7970"/>
    <w:rsid w:val="00BB7BB3"/>
    <w:rsid w:val="00BB7CC5"/>
    <w:rsid w:val="00BC01E5"/>
    <w:rsid w:val="00BC078B"/>
    <w:rsid w:val="00BC0A20"/>
    <w:rsid w:val="00BC2162"/>
    <w:rsid w:val="00BC2391"/>
    <w:rsid w:val="00BC3157"/>
    <w:rsid w:val="00BC345A"/>
    <w:rsid w:val="00BC4462"/>
    <w:rsid w:val="00BC611A"/>
    <w:rsid w:val="00BC62D4"/>
    <w:rsid w:val="00BC6B27"/>
    <w:rsid w:val="00BC6D8F"/>
    <w:rsid w:val="00BC74B7"/>
    <w:rsid w:val="00BC75D0"/>
    <w:rsid w:val="00BD0B8B"/>
    <w:rsid w:val="00BD13ED"/>
    <w:rsid w:val="00BD239F"/>
    <w:rsid w:val="00BD2C0A"/>
    <w:rsid w:val="00BD400D"/>
    <w:rsid w:val="00BD42B7"/>
    <w:rsid w:val="00BD5758"/>
    <w:rsid w:val="00BD5A0D"/>
    <w:rsid w:val="00BD731D"/>
    <w:rsid w:val="00BD73ED"/>
    <w:rsid w:val="00BE031F"/>
    <w:rsid w:val="00BE0CDC"/>
    <w:rsid w:val="00BE165A"/>
    <w:rsid w:val="00BE2070"/>
    <w:rsid w:val="00BE265E"/>
    <w:rsid w:val="00BE39EC"/>
    <w:rsid w:val="00BE3B27"/>
    <w:rsid w:val="00BE55F0"/>
    <w:rsid w:val="00BE5758"/>
    <w:rsid w:val="00BE5D2C"/>
    <w:rsid w:val="00BE632E"/>
    <w:rsid w:val="00BE675A"/>
    <w:rsid w:val="00BE67E8"/>
    <w:rsid w:val="00BE69E8"/>
    <w:rsid w:val="00BE6D01"/>
    <w:rsid w:val="00BF0077"/>
    <w:rsid w:val="00BF01D9"/>
    <w:rsid w:val="00BF05B2"/>
    <w:rsid w:val="00BF080D"/>
    <w:rsid w:val="00BF111B"/>
    <w:rsid w:val="00BF11B3"/>
    <w:rsid w:val="00BF14FB"/>
    <w:rsid w:val="00BF1AAB"/>
    <w:rsid w:val="00BF1ABB"/>
    <w:rsid w:val="00BF206C"/>
    <w:rsid w:val="00BF2DBA"/>
    <w:rsid w:val="00BF41E7"/>
    <w:rsid w:val="00BF4F0E"/>
    <w:rsid w:val="00BF597C"/>
    <w:rsid w:val="00BF5C79"/>
    <w:rsid w:val="00BF6A46"/>
    <w:rsid w:val="00BF6EFC"/>
    <w:rsid w:val="00BF79C6"/>
    <w:rsid w:val="00BF7FA5"/>
    <w:rsid w:val="00C00573"/>
    <w:rsid w:val="00C00F3B"/>
    <w:rsid w:val="00C016FA"/>
    <w:rsid w:val="00C01766"/>
    <w:rsid w:val="00C0239F"/>
    <w:rsid w:val="00C0267A"/>
    <w:rsid w:val="00C03E9D"/>
    <w:rsid w:val="00C04955"/>
    <w:rsid w:val="00C04979"/>
    <w:rsid w:val="00C0506A"/>
    <w:rsid w:val="00C0565F"/>
    <w:rsid w:val="00C05CAD"/>
    <w:rsid w:val="00C061A7"/>
    <w:rsid w:val="00C06948"/>
    <w:rsid w:val="00C06B62"/>
    <w:rsid w:val="00C06B71"/>
    <w:rsid w:val="00C07818"/>
    <w:rsid w:val="00C1055F"/>
    <w:rsid w:val="00C11617"/>
    <w:rsid w:val="00C116E3"/>
    <w:rsid w:val="00C11967"/>
    <w:rsid w:val="00C11D72"/>
    <w:rsid w:val="00C13E84"/>
    <w:rsid w:val="00C1438C"/>
    <w:rsid w:val="00C14408"/>
    <w:rsid w:val="00C144C1"/>
    <w:rsid w:val="00C145F5"/>
    <w:rsid w:val="00C1494A"/>
    <w:rsid w:val="00C14978"/>
    <w:rsid w:val="00C14983"/>
    <w:rsid w:val="00C150F8"/>
    <w:rsid w:val="00C152E5"/>
    <w:rsid w:val="00C154FD"/>
    <w:rsid w:val="00C16FDE"/>
    <w:rsid w:val="00C171A2"/>
    <w:rsid w:val="00C17272"/>
    <w:rsid w:val="00C17407"/>
    <w:rsid w:val="00C17905"/>
    <w:rsid w:val="00C20770"/>
    <w:rsid w:val="00C20A51"/>
    <w:rsid w:val="00C20C04"/>
    <w:rsid w:val="00C20D2B"/>
    <w:rsid w:val="00C22FB8"/>
    <w:rsid w:val="00C231AD"/>
    <w:rsid w:val="00C235F9"/>
    <w:rsid w:val="00C2368F"/>
    <w:rsid w:val="00C236DA"/>
    <w:rsid w:val="00C23983"/>
    <w:rsid w:val="00C2438D"/>
    <w:rsid w:val="00C243F5"/>
    <w:rsid w:val="00C24588"/>
    <w:rsid w:val="00C25221"/>
    <w:rsid w:val="00C25E76"/>
    <w:rsid w:val="00C26467"/>
    <w:rsid w:val="00C26C10"/>
    <w:rsid w:val="00C26C11"/>
    <w:rsid w:val="00C302C8"/>
    <w:rsid w:val="00C30739"/>
    <w:rsid w:val="00C30E1F"/>
    <w:rsid w:val="00C30EED"/>
    <w:rsid w:val="00C3103D"/>
    <w:rsid w:val="00C31BFF"/>
    <w:rsid w:val="00C32332"/>
    <w:rsid w:val="00C32728"/>
    <w:rsid w:val="00C32976"/>
    <w:rsid w:val="00C32B2C"/>
    <w:rsid w:val="00C33003"/>
    <w:rsid w:val="00C33AEB"/>
    <w:rsid w:val="00C33D49"/>
    <w:rsid w:val="00C3458C"/>
    <w:rsid w:val="00C34D51"/>
    <w:rsid w:val="00C34DE3"/>
    <w:rsid w:val="00C35FD8"/>
    <w:rsid w:val="00C36ED3"/>
    <w:rsid w:val="00C40BA7"/>
    <w:rsid w:val="00C40C98"/>
    <w:rsid w:val="00C40D2F"/>
    <w:rsid w:val="00C411F2"/>
    <w:rsid w:val="00C42719"/>
    <w:rsid w:val="00C4279B"/>
    <w:rsid w:val="00C4285B"/>
    <w:rsid w:val="00C429F8"/>
    <w:rsid w:val="00C42A5D"/>
    <w:rsid w:val="00C42D2B"/>
    <w:rsid w:val="00C42FDD"/>
    <w:rsid w:val="00C4421D"/>
    <w:rsid w:val="00C44557"/>
    <w:rsid w:val="00C452CE"/>
    <w:rsid w:val="00C45BB3"/>
    <w:rsid w:val="00C468F7"/>
    <w:rsid w:val="00C519EA"/>
    <w:rsid w:val="00C51EA4"/>
    <w:rsid w:val="00C51FF7"/>
    <w:rsid w:val="00C52838"/>
    <w:rsid w:val="00C52876"/>
    <w:rsid w:val="00C538ED"/>
    <w:rsid w:val="00C5476C"/>
    <w:rsid w:val="00C55F33"/>
    <w:rsid w:val="00C56192"/>
    <w:rsid w:val="00C5633F"/>
    <w:rsid w:val="00C56B36"/>
    <w:rsid w:val="00C56C54"/>
    <w:rsid w:val="00C56F91"/>
    <w:rsid w:val="00C56F9A"/>
    <w:rsid w:val="00C575BB"/>
    <w:rsid w:val="00C57950"/>
    <w:rsid w:val="00C60122"/>
    <w:rsid w:val="00C6262B"/>
    <w:rsid w:val="00C62FA7"/>
    <w:rsid w:val="00C63520"/>
    <w:rsid w:val="00C6359D"/>
    <w:rsid w:val="00C63E62"/>
    <w:rsid w:val="00C644C1"/>
    <w:rsid w:val="00C65605"/>
    <w:rsid w:val="00C662AC"/>
    <w:rsid w:val="00C66B91"/>
    <w:rsid w:val="00C6759E"/>
    <w:rsid w:val="00C703C0"/>
    <w:rsid w:val="00C708F3"/>
    <w:rsid w:val="00C709ED"/>
    <w:rsid w:val="00C70F9C"/>
    <w:rsid w:val="00C713DC"/>
    <w:rsid w:val="00C71A89"/>
    <w:rsid w:val="00C72374"/>
    <w:rsid w:val="00C73025"/>
    <w:rsid w:val="00C74049"/>
    <w:rsid w:val="00C7448F"/>
    <w:rsid w:val="00C754FE"/>
    <w:rsid w:val="00C7618B"/>
    <w:rsid w:val="00C761F3"/>
    <w:rsid w:val="00C76537"/>
    <w:rsid w:val="00C76D4D"/>
    <w:rsid w:val="00C8022E"/>
    <w:rsid w:val="00C80251"/>
    <w:rsid w:val="00C80E68"/>
    <w:rsid w:val="00C8117E"/>
    <w:rsid w:val="00C8163F"/>
    <w:rsid w:val="00C81990"/>
    <w:rsid w:val="00C81EF2"/>
    <w:rsid w:val="00C82398"/>
    <w:rsid w:val="00C82654"/>
    <w:rsid w:val="00C82BE9"/>
    <w:rsid w:val="00C84540"/>
    <w:rsid w:val="00C8456A"/>
    <w:rsid w:val="00C847E0"/>
    <w:rsid w:val="00C85226"/>
    <w:rsid w:val="00C8596A"/>
    <w:rsid w:val="00C85BD1"/>
    <w:rsid w:val="00C865C5"/>
    <w:rsid w:val="00C8689D"/>
    <w:rsid w:val="00C8787C"/>
    <w:rsid w:val="00C9058D"/>
    <w:rsid w:val="00C91007"/>
    <w:rsid w:val="00C91AF3"/>
    <w:rsid w:val="00C920BF"/>
    <w:rsid w:val="00C92B94"/>
    <w:rsid w:val="00C934D8"/>
    <w:rsid w:val="00C93764"/>
    <w:rsid w:val="00C9378F"/>
    <w:rsid w:val="00C94DD6"/>
    <w:rsid w:val="00C9622A"/>
    <w:rsid w:val="00CA1570"/>
    <w:rsid w:val="00CA15D4"/>
    <w:rsid w:val="00CA1744"/>
    <w:rsid w:val="00CA19A5"/>
    <w:rsid w:val="00CA2521"/>
    <w:rsid w:val="00CA2873"/>
    <w:rsid w:val="00CA28CE"/>
    <w:rsid w:val="00CA2B8B"/>
    <w:rsid w:val="00CA2BB1"/>
    <w:rsid w:val="00CA3A69"/>
    <w:rsid w:val="00CA456C"/>
    <w:rsid w:val="00CA5005"/>
    <w:rsid w:val="00CA55D7"/>
    <w:rsid w:val="00CA5772"/>
    <w:rsid w:val="00CA61B3"/>
    <w:rsid w:val="00CA7AAD"/>
    <w:rsid w:val="00CA7C33"/>
    <w:rsid w:val="00CA7D01"/>
    <w:rsid w:val="00CB0C2B"/>
    <w:rsid w:val="00CB13A5"/>
    <w:rsid w:val="00CB19B1"/>
    <w:rsid w:val="00CB1B21"/>
    <w:rsid w:val="00CB1F95"/>
    <w:rsid w:val="00CB22B3"/>
    <w:rsid w:val="00CB2438"/>
    <w:rsid w:val="00CB264D"/>
    <w:rsid w:val="00CB350D"/>
    <w:rsid w:val="00CB3693"/>
    <w:rsid w:val="00CB3A2A"/>
    <w:rsid w:val="00CB3D10"/>
    <w:rsid w:val="00CB4A9A"/>
    <w:rsid w:val="00CB6269"/>
    <w:rsid w:val="00CB6412"/>
    <w:rsid w:val="00CB6F89"/>
    <w:rsid w:val="00CB72AD"/>
    <w:rsid w:val="00CB7BBD"/>
    <w:rsid w:val="00CB7C05"/>
    <w:rsid w:val="00CC0EBD"/>
    <w:rsid w:val="00CC0F75"/>
    <w:rsid w:val="00CC111E"/>
    <w:rsid w:val="00CC12B4"/>
    <w:rsid w:val="00CC1354"/>
    <w:rsid w:val="00CC1A90"/>
    <w:rsid w:val="00CC45BB"/>
    <w:rsid w:val="00CC4872"/>
    <w:rsid w:val="00CC4EE3"/>
    <w:rsid w:val="00CC5AD6"/>
    <w:rsid w:val="00CC5BF6"/>
    <w:rsid w:val="00CC5EBA"/>
    <w:rsid w:val="00CC6179"/>
    <w:rsid w:val="00CC64CF"/>
    <w:rsid w:val="00CC683E"/>
    <w:rsid w:val="00CC6989"/>
    <w:rsid w:val="00CC6A02"/>
    <w:rsid w:val="00CD042C"/>
    <w:rsid w:val="00CD0650"/>
    <w:rsid w:val="00CD0AA3"/>
    <w:rsid w:val="00CD0DAE"/>
    <w:rsid w:val="00CD0F76"/>
    <w:rsid w:val="00CD175F"/>
    <w:rsid w:val="00CD1865"/>
    <w:rsid w:val="00CD24A6"/>
    <w:rsid w:val="00CD26B5"/>
    <w:rsid w:val="00CD3C3E"/>
    <w:rsid w:val="00CD3EE9"/>
    <w:rsid w:val="00CD4136"/>
    <w:rsid w:val="00CD4A8A"/>
    <w:rsid w:val="00CD54DA"/>
    <w:rsid w:val="00CD55ED"/>
    <w:rsid w:val="00CD6D66"/>
    <w:rsid w:val="00CD7023"/>
    <w:rsid w:val="00CD71C7"/>
    <w:rsid w:val="00CD74BD"/>
    <w:rsid w:val="00CE09E1"/>
    <w:rsid w:val="00CE0C25"/>
    <w:rsid w:val="00CE2497"/>
    <w:rsid w:val="00CE2841"/>
    <w:rsid w:val="00CE2BEB"/>
    <w:rsid w:val="00CE2D90"/>
    <w:rsid w:val="00CE3BB8"/>
    <w:rsid w:val="00CE4079"/>
    <w:rsid w:val="00CE5686"/>
    <w:rsid w:val="00CE5872"/>
    <w:rsid w:val="00CE5C67"/>
    <w:rsid w:val="00CE6B77"/>
    <w:rsid w:val="00CE6D81"/>
    <w:rsid w:val="00CE71A5"/>
    <w:rsid w:val="00CE782B"/>
    <w:rsid w:val="00CE7973"/>
    <w:rsid w:val="00CF111D"/>
    <w:rsid w:val="00CF16E6"/>
    <w:rsid w:val="00CF2819"/>
    <w:rsid w:val="00CF33D3"/>
    <w:rsid w:val="00CF40A9"/>
    <w:rsid w:val="00CF5214"/>
    <w:rsid w:val="00CF5CA8"/>
    <w:rsid w:val="00CF610F"/>
    <w:rsid w:val="00CF61B7"/>
    <w:rsid w:val="00CF6233"/>
    <w:rsid w:val="00CF6258"/>
    <w:rsid w:val="00CF67A2"/>
    <w:rsid w:val="00CF6913"/>
    <w:rsid w:val="00CF75CF"/>
    <w:rsid w:val="00D0010A"/>
    <w:rsid w:val="00D00157"/>
    <w:rsid w:val="00D0128B"/>
    <w:rsid w:val="00D0195E"/>
    <w:rsid w:val="00D01D99"/>
    <w:rsid w:val="00D01EE6"/>
    <w:rsid w:val="00D02ED6"/>
    <w:rsid w:val="00D0315E"/>
    <w:rsid w:val="00D03D4C"/>
    <w:rsid w:val="00D03EF8"/>
    <w:rsid w:val="00D04300"/>
    <w:rsid w:val="00D048A8"/>
    <w:rsid w:val="00D049F4"/>
    <w:rsid w:val="00D04A06"/>
    <w:rsid w:val="00D0576F"/>
    <w:rsid w:val="00D059EF"/>
    <w:rsid w:val="00D060D1"/>
    <w:rsid w:val="00D062A0"/>
    <w:rsid w:val="00D062C9"/>
    <w:rsid w:val="00D068C3"/>
    <w:rsid w:val="00D06C34"/>
    <w:rsid w:val="00D06CD9"/>
    <w:rsid w:val="00D07BE9"/>
    <w:rsid w:val="00D10776"/>
    <w:rsid w:val="00D10FF4"/>
    <w:rsid w:val="00D11C8E"/>
    <w:rsid w:val="00D120AA"/>
    <w:rsid w:val="00D12F8B"/>
    <w:rsid w:val="00D1366A"/>
    <w:rsid w:val="00D13C49"/>
    <w:rsid w:val="00D13FCD"/>
    <w:rsid w:val="00D14233"/>
    <w:rsid w:val="00D142C0"/>
    <w:rsid w:val="00D142F4"/>
    <w:rsid w:val="00D14534"/>
    <w:rsid w:val="00D1487E"/>
    <w:rsid w:val="00D14C94"/>
    <w:rsid w:val="00D14F8C"/>
    <w:rsid w:val="00D151F3"/>
    <w:rsid w:val="00D15683"/>
    <w:rsid w:val="00D1579A"/>
    <w:rsid w:val="00D16BE9"/>
    <w:rsid w:val="00D176CF"/>
    <w:rsid w:val="00D17D64"/>
    <w:rsid w:val="00D201A7"/>
    <w:rsid w:val="00D20287"/>
    <w:rsid w:val="00D202E2"/>
    <w:rsid w:val="00D214D2"/>
    <w:rsid w:val="00D216DC"/>
    <w:rsid w:val="00D219DD"/>
    <w:rsid w:val="00D22CB3"/>
    <w:rsid w:val="00D22D57"/>
    <w:rsid w:val="00D24FB6"/>
    <w:rsid w:val="00D2623D"/>
    <w:rsid w:val="00D262B8"/>
    <w:rsid w:val="00D2663C"/>
    <w:rsid w:val="00D26C43"/>
    <w:rsid w:val="00D278B7"/>
    <w:rsid w:val="00D304FA"/>
    <w:rsid w:val="00D30624"/>
    <w:rsid w:val="00D30682"/>
    <w:rsid w:val="00D30846"/>
    <w:rsid w:val="00D30C53"/>
    <w:rsid w:val="00D30D00"/>
    <w:rsid w:val="00D31500"/>
    <w:rsid w:val="00D31943"/>
    <w:rsid w:val="00D31B49"/>
    <w:rsid w:val="00D31E24"/>
    <w:rsid w:val="00D323D8"/>
    <w:rsid w:val="00D32DD3"/>
    <w:rsid w:val="00D333B8"/>
    <w:rsid w:val="00D33B9E"/>
    <w:rsid w:val="00D341B6"/>
    <w:rsid w:val="00D348A1"/>
    <w:rsid w:val="00D34AC8"/>
    <w:rsid w:val="00D34C90"/>
    <w:rsid w:val="00D34D0D"/>
    <w:rsid w:val="00D35432"/>
    <w:rsid w:val="00D35437"/>
    <w:rsid w:val="00D355B0"/>
    <w:rsid w:val="00D35679"/>
    <w:rsid w:val="00D35698"/>
    <w:rsid w:val="00D361E6"/>
    <w:rsid w:val="00D363EC"/>
    <w:rsid w:val="00D36CEB"/>
    <w:rsid w:val="00D37A5C"/>
    <w:rsid w:val="00D37D12"/>
    <w:rsid w:val="00D37D52"/>
    <w:rsid w:val="00D40365"/>
    <w:rsid w:val="00D4048B"/>
    <w:rsid w:val="00D40CAD"/>
    <w:rsid w:val="00D416F8"/>
    <w:rsid w:val="00D41C9F"/>
    <w:rsid w:val="00D42B1D"/>
    <w:rsid w:val="00D42D76"/>
    <w:rsid w:val="00D43911"/>
    <w:rsid w:val="00D44B9E"/>
    <w:rsid w:val="00D450FE"/>
    <w:rsid w:val="00D45E9A"/>
    <w:rsid w:val="00D46375"/>
    <w:rsid w:val="00D46EF9"/>
    <w:rsid w:val="00D51241"/>
    <w:rsid w:val="00D51445"/>
    <w:rsid w:val="00D519BA"/>
    <w:rsid w:val="00D51D4D"/>
    <w:rsid w:val="00D521D2"/>
    <w:rsid w:val="00D52E66"/>
    <w:rsid w:val="00D53856"/>
    <w:rsid w:val="00D54A4D"/>
    <w:rsid w:val="00D54BA6"/>
    <w:rsid w:val="00D557CB"/>
    <w:rsid w:val="00D55DC6"/>
    <w:rsid w:val="00D55FCF"/>
    <w:rsid w:val="00D564CE"/>
    <w:rsid w:val="00D6038E"/>
    <w:rsid w:val="00D60B99"/>
    <w:rsid w:val="00D60D1E"/>
    <w:rsid w:val="00D6186D"/>
    <w:rsid w:val="00D6274F"/>
    <w:rsid w:val="00D644C8"/>
    <w:rsid w:val="00D6546B"/>
    <w:rsid w:val="00D6627B"/>
    <w:rsid w:val="00D662FB"/>
    <w:rsid w:val="00D6694E"/>
    <w:rsid w:val="00D67ADD"/>
    <w:rsid w:val="00D67CB2"/>
    <w:rsid w:val="00D70292"/>
    <w:rsid w:val="00D70454"/>
    <w:rsid w:val="00D707FD"/>
    <w:rsid w:val="00D70AC6"/>
    <w:rsid w:val="00D71156"/>
    <w:rsid w:val="00D71B6C"/>
    <w:rsid w:val="00D7215B"/>
    <w:rsid w:val="00D722A6"/>
    <w:rsid w:val="00D74047"/>
    <w:rsid w:val="00D745E5"/>
    <w:rsid w:val="00D74742"/>
    <w:rsid w:val="00D749E8"/>
    <w:rsid w:val="00D762AF"/>
    <w:rsid w:val="00D76870"/>
    <w:rsid w:val="00D76AB2"/>
    <w:rsid w:val="00D76C98"/>
    <w:rsid w:val="00D773A1"/>
    <w:rsid w:val="00D77E58"/>
    <w:rsid w:val="00D80285"/>
    <w:rsid w:val="00D80427"/>
    <w:rsid w:val="00D807AA"/>
    <w:rsid w:val="00D80CED"/>
    <w:rsid w:val="00D80DBC"/>
    <w:rsid w:val="00D81C55"/>
    <w:rsid w:val="00D82FBA"/>
    <w:rsid w:val="00D83497"/>
    <w:rsid w:val="00D8390E"/>
    <w:rsid w:val="00D84098"/>
    <w:rsid w:val="00D84561"/>
    <w:rsid w:val="00D8460C"/>
    <w:rsid w:val="00D84B8C"/>
    <w:rsid w:val="00D84C9B"/>
    <w:rsid w:val="00D8508B"/>
    <w:rsid w:val="00D86425"/>
    <w:rsid w:val="00D86507"/>
    <w:rsid w:val="00D87889"/>
    <w:rsid w:val="00D878D6"/>
    <w:rsid w:val="00D878F4"/>
    <w:rsid w:val="00D9006A"/>
    <w:rsid w:val="00D904E8"/>
    <w:rsid w:val="00D90990"/>
    <w:rsid w:val="00D90DED"/>
    <w:rsid w:val="00D91347"/>
    <w:rsid w:val="00D91A7B"/>
    <w:rsid w:val="00D91B78"/>
    <w:rsid w:val="00D92181"/>
    <w:rsid w:val="00D92283"/>
    <w:rsid w:val="00D93054"/>
    <w:rsid w:val="00D930BC"/>
    <w:rsid w:val="00D93BD1"/>
    <w:rsid w:val="00D940AB"/>
    <w:rsid w:val="00D9530F"/>
    <w:rsid w:val="00D95596"/>
    <w:rsid w:val="00D95D45"/>
    <w:rsid w:val="00D95EFB"/>
    <w:rsid w:val="00D96C89"/>
    <w:rsid w:val="00D97096"/>
    <w:rsid w:val="00D97304"/>
    <w:rsid w:val="00D97771"/>
    <w:rsid w:val="00D97AA2"/>
    <w:rsid w:val="00D97E97"/>
    <w:rsid w:val="00DA0156"/>
    <w:rsid w:val="00DA1738"/>
    <w:rsid w:val="00DA2013"/>
    <w:rsid w:val="00DA2466"/>
    <w:rsid w:val="00DA259F"/>
    <w:rsid w:val="00DA27E6"/>
    <w:rsid w:val="00DA2C77"/>
    <w:rsid w:val="00DA2D8B"/>
    <w:rsid w:val="00DA3401"/>
    <w:rsid w:val="00DA359B"/>
    <w:rsid w:val="00DA3991"/>
    <w:rsid w:val="00DA3C37"/>
    <w:rsid w:val="00DA3C4B"/>
    <w:rsid w:val="00DA42EF"/>
    <w:rsid w:val="00DA4438"/>
    <w:rsid w:val="00DA52F1"/>
    <w:rsid w:val="00DA68F4"/>
    <w:rsid w:val="00DB0542"/>
    <w:rsid w:val="00DB0F6A"/>
    <w:rsid w:val="00DB1383"/>
    <w:rsid w:val="00DB17F8"/>
    <w:rsid w:val="00DB1F0B"/>
    <w:rsid w:val="00DB22B8"/>
    <w:rsid w:val="00DB2C04"/>
    <w:rsid w:val="00DB2C41"/>
    <w:rsid w:val="00DB2C5F"/>
    <w:rsid w:val="00DB2D24"/>
    <w:rsid w:val="00DB4425"/>
    <w:rsid w:val="00DB4BA0"/>
    <w:rsid w:val="00DB52D2"/>
    <w:rsid w:val="00DB53ED"/>
    <w:rsid w:val="00DB6766"/>
    <w:rsid w:val="00DB76D2"/>
    <w:rsid w:val="00DB7A17"/>
    <w:rsid w:val="00DB7CBC"/>
    <w:rsid w:val="00DC0E3E"/>
    <w:rsid w:val="00DC1948"/>
    <w:rsid w:val="00DC2141"/>
    <w:rsid w:val="00DC2D84"/>
    <w:rsid w:val="00DC2F0F"/>
    <w:rsid w:val="00DC36DC"/>
    <w:rsid w:val="00DC385C"/>
    <w:rsid w:val="00DC3BF5"/>
    <w:rsid w:val="00DC436F"/>
    <w:rsid w:val="00DC519E"/>
    <w:rsid w:val="00DC54BF"/>
    <w:rsid w:val="00DC5947"/>
    <w:rsid w:val="00DC6986"/>
    <w:rsid w:val="00DD0AE3"/>
    <w:rsid w:val="00DD1009"/>
    <w:rsid w:val="00DD138A"/>
    <w:rsid w:val="00DD1A3A"/>
    <w:rsid w:val="00DD1C3C"/>
    <w:rsid w:val="00DD2560"/>
    <w:rsid w:val="00DD3C82"/>
    <w:rsid w:val="00DD3D8F"/>
    <w:rsid w:val="00DD3E21"/>
    <w:rsid w:val="00DD4B94"/>
    <w:rsid w:val="00DD50C7"/>
    <w:rsid w:val="00DD536E"/>
    <w:rsid w:val="00DD56ED"/>
    <w:rsid w:val="00DD5A34"/>
    <w:rsid w:val="00DD62CD"/>
    <w:rsid w:val="00DD7577"/>
    <w:rsid w:val="00DD7EE3"/>
    <w:rsid w:val="00DE0479"/>
    <w:rsid w:val="00DE14DB"/>
    <w:rsid w:val="00DE1984"/>
    <w:rsid w:val="00DE19C1"/>
    <w:rsid w:val="00DE20C2"/>
    <w:rsid w:val="00DE3C4A"/>
    <w:rsid w:val="00DE40CC"/>
    <w:rsid w:val="00DE4468"/>
    <w:rsid w:val="00DE53FF"/>
    <w:rsid w:val="00DE56A4"/>
    <w:rsid w:val="00DE5D72"/>
    <w:rsid w:val="00DE617C"/>
    <w:rsid w:val="00DE645C"/>
    <w:rsid w:val="00DE72DB"/>
    <w:rsid w:val="00DE72FF"/>
    <w:rsid w:val="00DE7359"/>
    <w:rsid w:val="00DE741D"/>
    <w:rsid w:val="00DE752D"/>
    <w:rsid w:val="00DE7765"/>
    <w:rsid w:val="00DE796A"/>
    <w:rsid w:val="00DE7A40"/>
    <w:rsid w:val="00DE7E2F"/>
    <w:rsid w:val="00DF03CE"/>
    <w:rsid w:val="00DF06BD"/>
    <w:rsid w:val="00DF0F72"/>
    <w:rsid w:val="00DF1BDD"/>
    <w:rsid w:val="00DF2054"/>
    <w:rsid w:val="00DF242C"/>
    <w:rsid w:val="00DF3063"/>
    <w:rsid w:val="00DF37B8"/>
    <w:rsid w:val="00DF4469"/>
    <w:rsid w:val="00DF48C7"/>
    <w:rsid w:val="00DF4CE1"/>
    <w:rsid w:val="00DF525E"/>
    <w:rsid w:val="00DF5629"/>
    <w:rsid w:val="00DF5E90"/>
    <w:rsid w:val="00DF60EE"/>
    <w:rsid w:val="00DF6173"/>
    <w:rsid w:val="00DF674B"/>
    <w:rsid w:val="00DF6A10"/>
    <w:rsid w:val="00DF6EE7"/>
    <w:rsid w:val="00DF76F5"/>
    <w:rsid w:val="00DF798A"/>
    <w:rsid w:val="00DF7B6F"/>
    <w:rsid w:val="00DF7C0A"/>
    <w:rsid w:val="00E00396"/>
    <w:rsid w:val="00E01C06"/>
    <w:rsid w:val="00E02287"/>
    <w:rsid w:val="00E02778"/>
    <w:rsid w:val="00E02B1D"/>
    <w:rsid w:val="00E033C9"/>
    <w:rsid w:val="00E03A02"/>
    <w:rsid w:val="00E03A5C"/>
    <w:rsid w:val="00E03D30"/>
    <w:rsid w:val="00E03FBB"/>
    <w:rsid w:val="00E05519"/>
    <w:rsid w:val="00E05966"/>
    <w:rsid w:val="00E05D53"/>
    <w:rsid w:val="00E05E1C"/>
    <w:rsid w:val="00E05FB0"/>
    <w:rsid w:val="00E063CC"/>
    <w:rsid w:val="00E06451"/>
    <w:rsid w:val="00E06571"/>
    <w:rsid w:val="00E07DBA"/>
    <w:rsid w:val="00E1028A"/>
    <w:rsid w:val="00E103CB"/>
    <w:rsid w:val="00E106CB"/>
    <w:rsid w:val="00E10AF5"/>
    <w:rsid w:val="00E10D38"/>
    <w:rsid w:val="00E11825"/>
    <w:rsid w:val="00E11977"/>
    <w:rsid w:val="00E12324"/>
    <w:rsid w:val="00E1242C"/>
    <w:rsid w:val="00E129E8"/>
    <w:rsid w:val="00E130D7"/>
    <w:rsid w:val="00E13189"/>
    <w:rsid w:val="00E13955"/>
    <w:rsid w:val="00E13AA6"/>
    <w:rsid w:val="00E14031"/>
    <w:rsid w:val="00E14568"/>
    <w:rsid w:val="00E145AA"/>
    <w:rsid w:val="00E152F0"/>
    <w:rsid w:val="00E16326"/>
    <w:rsid w:val="00E165A0"/>
    <w:rsid w:val="00E16605"/>
    <w:rsid w:val="00E16815"/>
    <w:rsid w:val="00E17914"/>
    <w:rsid w:val="00E20158"/>
    <w:rsid w:val="00E2030F"/>
    <w:rsid w:val="00E203DA"/>
    <w:rsid w:val="00E2043F"/>
    <w:rsid w:val="00E204AE"/>
    <w:rsid w:val="00E20AF2"/>
    <w:rsid w:val="00E20B3B"/>
    <w:rsid w:val="00E22CFA"/>
    <w:rsid w:val="00E2388B"/>
    <w:rsid w:val="00E23DD3"/>
    <w:rsid w:val="00E2429C"/>
    <w:rsid w:val="00E249E4"/>
    <w:rsid w:val="00E2584D"/>
    <w:rsid w:val="00E2599C"/>
    <w:rsid w:val="00E259E4"/>
    <w:rsid w:val="00E261A4"/>
    <w:rsid w:val="00E268CA"/>
    <w:rsid w:val="00E26E9A"/>
    <w:rsid w:val="00E27514"/>
    <w:rsid w:val="00E2761F"/>
    <w:rsid w:val="00E306A1"/>
    <w:rsid w:val="00E30D00"/>
    <w:rsid w:val="00E30F8E"/>
    <w:rsid w:val="00E30FED"/>
    <w:rsid w:val="00E311F9"/>
    <w:rsid w:val="00E317BC"/>
    <w:rsid w:val="00E326D0"/>
    <w:rsid w:val="00E33A8F"/>
    <w:rsid w:val="00E33B2F"/>
    <w:rsid w:val="00E3481D"/>
    <w:rsid w:val="00E34CE5"/>
    <w:rsid w:val="00E35244"/>
    <w:rsid w:val="00E36AF1"/>
    <w:rsid w:val="00E37CF8"/>
    <w:rsid w:val="00E37E46"/>
    <w:rsid w:val="00E40873"/>
    <w:rsid w:val="00E411D7"/>
    <w:rsid w:val="00E4192E"/>
    <w:rsid w:val="00E42BA8"/>
    <w:rsid w:val="00E4345F"/>
    <w:rsid w:val="00E44A76"/>
    <w:rsid w:val="00E44B34"/>
    <w:rsid w:val="00E45819"/>
    <w:rsid w:val="00E45C9E"/>
    <w:rsid w:val="00E46180"/>
    <w:rsid w:val="00E46E7D"/>
    <w:rsid w:val="00E502E2"/>
    <w:rsid w:val="00E5056C"/>
    <w:rsid w:val="00E50917"/>
    <w:rsid w:val="00E51127"/>
    <w:rsid w:val="00E52507"/>
    <w:rsid w:val="00E52E94"/>
    <w:rsid w:val="00E53D64"/>
    <w:rsid w:val="00E54B2F"/>
    <w:rsid w:val="00E54C11"/>
    <w:rsid w:val="00E54D8F"/>
    <w:rsid w:val="00E55220"/>
    <w:rsid w:val="00E555D7"/>
    <w:rsid w:val="00E55AF8"/>
    <w:rsid w:val="00E55E06"/>
    <w:rsid w:val="00E567ED"/>
    <w:rsid w:val="00E56F9B"/>
    <w:rsid w:val="00E57484"/>
    <w:rsid w:val="00E6059A"/>
    <w:rsid w:val="00E60741"/>
    <w:rsid w:val="00E608D4"/>
    <w:rsid w:val="00E60A7E"/>
    <w:rsid w:val="00E6107B"/>
    <w:rsid w:val="00E622E1"/>
    <w:rsid w:val="00E62AE3"/>
    <w:rsid w:val="00E62EF1"/>
    <w:rsid w:val="00E647D0"/>
    <w:rsid w:val="00E64943"/>
    <w:rsid w:val="00E64ABF"/>
    <w:rsid w:val="00E65E0E"/>
    <w:rsid w:val="00E660E4"/>
    <w:rsid w:val="00E6690E"/>
    <w:rsid w:val="00E66BD8"/>
    <w:rsid w:val="00E67540"/>
    <w:rsid w:val="00E67FF8"/>
    <w:rsid w:val="00E70841"/>
    <w:rsid w:val="00E70D5B"/>
    <w:rsid w:val="00E70FCA"/>
    <w:rsid w:val="00E71E96"/>
    <w:rsid w:val="00E72462"/>
    <w:rsid w:val="00E72A9D"/>
    <w:rsid w:val="00E72E3D"/>
    <w:rsid w:val="00E7306F"/>
    <w:rsid w:val="00E735B1"/>
    <w:rsid w:val="00E737B8"/>
    <w:rsid w:val="00E73B13"/>
    <w:rsid w:val="00E7408C"/>
    <w:rsid w:val="00E742D5"/>
    <w:rsid w:val="00E74B50"/>
    <w:rsid w:val="00E759E2"/>
    <w:rsid w:val="00E761FE"/>
    <w:rsid w:val="00E809FD"/>
    <w:rsid w:val="00E8208E"/>
    <w:rsid w:val="00E822C8"/>
    <w:rsid w:val="00E82DFF"/>
    <w:rsid w:val="00E830B6"/>
    <w:rsid w:val="00E83752"/>
    <w:rsid w:val="00E8389D"/>
    <w:rsid w:val="00E84115"/>
    <w:rsid w:val="00E841D8"/>
    <w:rsid w:val="00E8430B"/>
    <w:rsid w:val="00E84342"/>
    <w:rsid w:val="00E849D2"/>
    <w:rsid w:val="00E84ED6"/>
    <w:rsid w:val="00E8501B"/>
    <w:rsid w:val="00E85E0A"/>
    <w:rsid w:val="00E8620D"/>
    <w:rsid w:val="00E865AE"/>
    <w:rsid w:val="00E86C3A"/>
    <w:rsid w:val="00E87613"/>
    <w:rsid w:val="00E90C8E"/>
    <w:rsid w:val="00E910C4"/>
    <w:rsid w:val="00E916C0"/>
    <w:rsid w:val="00E91CC4"/>
    <w:rsid w:val="00E92099"/>
    <w:rsid w:val="00E92236"/>
    <w:rsid w:val="00E9280E"/>
    <w:rsid w:val="00E9337C"/>
    <w:rsid w:val="00E938B6"/>
    <w:rsid w:val="00E9582E"/>
    <w:rsid w:val="00E95C7B"/>
    <w:rsid w:val="00E96AED"/>
    <w:rsid w:val="00E96D64"/>
    <w:rsid w:val="00E979C4"/>
    <w:rsid w:val="00E97BB4"/>
    <w:rsid w:val="00E97C6B"/>
    <w:rsid w:val="00EA0985"/>
    <w:rsid w:val="00EA0F6B"/>
    <w:rsid w:val="00EA12FC"/>
    <w:rsid w:val="00EA2580"/>
    <w:rsid w:val="00EA2890"/>
    <w:rsid w:val="00EA2B12"/>
    <w:rsid w:val="00EA46F8"/>
    <w:rsid w:val="00EA5264"/>
    <w:rsid w:val="00EA5346"/>
    <w:rsid w:val="00EA59A7"/>
    <w:rsid w:val="00EA6268"/>
    <w:rsid w:val="00EA64E8"/>
    <w:rsid w:val="00EA6F8A"/>
    <w:rsid w:val="00EA72F7"/>
    <w:rsid w:val="00EA74B7"/>
    <w:rsid w:val="00EA753F"/>
    <w:rsid w:val="00EB035E"/>
    <w:rsid w:val="00EB0500"/>
    <w:rsid w:val="00EB0830"/>
    <w:rsid w:val="00EB0921"/>
    <w:rsid w:val="00EB0B4B"/>
    <w:rsid w:val="00EB0C63"/>
    <w:rsid w:val="00EB17CA"/>
    <w:rsid w:val="00EB1FA4"/>
    <w:rsid w:val="00EB2AFE"/>
    <w:rsid w:val="00EB2FAB"/>
    <w:rsid w:val="00EB2FF4"/>
    <w:rsid w:val="00EB306B"/>
    <w:rsid w:val="00EB30F3"/>
    <w:rsid w:val="00EB3188"/>
    <w:rsid w:val="00EB363D"/>
    <w:rsid w:val="00EB4683"/>
    <w:rsid w:val="00EB55BD"/>
    <w:rsid w:val="00EB61F2"/>
    <w:rsid w:val="00EB6589"/>
    <w:rsid w:val="00EB6680"/>
    <w:rsid w:val="00EB6F44"/>
    <w:rsid w:val="00EB71A4"/>
    <w:rsid w:val="00EB7972"/>
    <w:rsid w:val="00EB7BBF"/>
    <w:rsid w:val="00EC03B5"/>
    <w:rsid w:val="00EC08F4"/>
    <w:rsid w:val="00EC14BA"/>
    <w:rsid w:val="00EC153A"/>
    <w:rsid w:val="00EC19E4"/>
    <w:rsid w:val="00EC1FC1"/>
    <w:rsid w:val="00EC23E0"/>
    <w:rsid w:val="00EC2684"/>
    <w:rsid w:val="00EC2BCE"/>
    <w:rsid w:val="00EC2CB3"/>
    <w:rsid w:val="00EC334E"/>
    <w:rsid w:val="00EC353F"/>
    <w:rsid w:val="00EC3F20"/>
    <w:rsid w:val="00EC3F78"/>
    <w:rsid w:val="00EC4B80"/>
    <w:rsid w:val="00EC4C4E"/>
    <w:rsid w:val="00EC4EDD"/>
    <w:rsid w:val="00EC5805"/>
    <w:rsid w:val="00EC5B43"/>
    <w:rsid w:val="00EC5DD5"/>
    <w:rsid w:val="00EC61B0"/>
    <w:rsid w:val="00EC7019"/>
    <w:rsid w:val="00EC785B"/>
    <w:rsid w:val="00EC7EA4"/>
    <w:rsid w:val="00ED0444"/>
    <w:rsid w:val="00ED0A07"/>
    <w:rsid w:val="00ED0AE9"/>
    <w:rsid w:val="00ED0FE0"/>
    <w:rsid w:val="00ED1961"/>
    <w:rsid w:val="00ED1ADB"/>
    <w:rsid w:val="00ED2FA1"/>
    <w:rsid w:val="00ED40AA"/>
    <w:rsid w:val="00ED5BBB"/>
    <w:rsid w:val="00ED65BD"/>
    <w:rsid w:val="00ED7B57"/>
    <w:rsid w:val="00EE03ED"/>
    <w:rsid w:val="00EE04D2"/>
    <w:rsid w:val="00EE20F5"/>
    <w:rsid w:val="00EE21E2"/>
    <w:rsid w:val="00EE24B4"/>
    <w:rsid w:val="00EE2CCA"/>
    <w:rsid w:val="00EE2E58"/>
    <w:rsid w:val="00EE33F8"/>
    <w:rsid w:val="00EE39D7"/>
    <w:rsid w:val="00EE3F77"/>
    <w:rsid w:val="00EE45F9"/>
    <w:rsid w:val="00EE5102"/>
    <w:rsid w:val="00EE5D01"/>
    <w:rsid w:val="00EE5D53"/>
    <w:rsid w:val="00EE62F0"/>
    <w:rsid w:val="00EE6736"/>
    <w:rsid w:val="00EE6856"/>
    <w:rsid w:val="00EE6B8C"/>
    <w:rsid w:val="00EE6F73"/>
    <w:rsid w:val="00EE7515"/>
    <w:rsid w:val="00EF044E"/>
    <w:rsid w:val="00EF0492"/>
    <w:rsid w:val="00EF092A"/>
    <w:rsid w:val="00EF2454"/>
    <w:rsid w:val="00EF2DF6"/>
    <w:rsid w:val="00EF3228"/>
    <w:rsid w:val="00EF3B93"/>
    <w:rsid w:val="00EF4584"/>
    <w:rsid w:val="00EF5048"/>
    <w:rsid w:val="00EF56A4"/>
    <w:rsid w:val="00EF5736"/>
    <w:rsid w:val="00EF5767"/>
    <w:rsid w:val="00EF5E7D"/>
    <w:rsid w:val="00EF66D0"/>
    <w:rsid w:val="00EF6D80"/>
    <w:rsid w:val="00EF6F68"/>
    <w:rsid w:val="00EF7A91"/>
    <w:rsid w:val="00F00369"/>
    <w:rsid w:val="00F00EA4"/>
    <w:rsid w:val="00F0221E"/>
    <w:rsid w:val="00F0232A"/>
    <w:rsid w:val="00F02E83"/>
    <w:rsid w:val="00F03A00"/>
    <w:rsid w:val="00F056DC"/>
    <w:rsid w:val="00F05BDC"/>
    <w:rsid w:val="00F05FF3"/>
    <w:rsid w:val="00F07D51"/>
    <w:rsid w:val="00F07D6D"/>
    <w:rsid w:val="00F11275"/>
    <w:rsid w:val="00F11AAA"/>
    <w:rsid w:val="00F12224"/>
    <w:rsid w:val="00F12555"/>
    <w:rsid w:val="00F131BA"/>
    <w:rsid w:val="00F13C50"/>
    <w:rsid w:val="00F15F76"/>
    <w:rsid w:val="00F16468"/>
    <w:rsid w:val="00F16627"/>
    <w:rsid w:val="00F17226"/>
    <w:rsid w:val="00F176ED"/>
    <w:rsid w:val="00F17B4D"/>
    <w:rsid w:val="00F17EA7"/>
    <w:rsid w:val="00F20632"/>
    <w:rsid w:val="00F2308D"/>
    <w:rsid w:val="00F24460"/>
    <w:rsid w:val="00F245FE"/>
    <w:rsid w:val="00F24CAB"/>
    <w:rsid w:val="00F257DA"/>
    <w:rsid w:val="00F26391"/>
    <w:rsid w:val="00F269FF"/>
    <w:rsid w:val="00F27288"/>
    <w:rsid w:val="00F27384"/>
    <w:rsid w:val="00F27633"/>
    <w:rsid w:val="00F30A50"/>
    <w:rsid w:val="00F30B67"/>
    <w:rsid w:val="00F30BDF"/>
    <w:rsid w:val="00F30D24"/>
    <w:rsid w:val="00F30FE7"/>
    <w:rsid w:val="00F31CB9"/>
    <w:rsid w:val="00F31E5E"/>
    <w:rsid w:val="00F3263C"/>
    <w:rsid w:val="00F32838"/>
    <w:rsid w:val="00F335E8"/>
    <w:rsid w:val="00F34942"/>
    <w:rsid w:val="00F34D03"/>
    <w:rsid w:val="00F34FEC"/>
    <w:rsid w:val="00F35A5D"/>
    <w:rsid w:val="00F35FE3"/>
    <w:rsid w:val="00F36D97"/>
    <w:rsid w:val="00F375BF"/>
    <w:rsid w:val="00F40065"/>
    <w:rsid w:val="00F407F2"/>
    <w:rsid w:val="00F40A9D"/>
    <w:rsid w:val="00F40DA4"/>
    <w:rsid w:val="00F4118A"/>
    <w:rsid w:val="00F42197"/>
    <w:rsid w:val="00F42386"/>
    <w:rsid w:val="00F42642"/>
    <w:rsid w:val="00F4348F"/>
    <w:rsid w:val="00F43E67"/>
    <w:rsid w:val="00F441AF"/>
    <w:rsid w:val="00F443AB"/>
    <w:rsid w:val="00F445B1"/>
    <w:rsid w:val="00F44A0C"/>
    <w:rsid w:val="00F4564F"/>
    <w:rsid w:val="00F45AB3"/>
    <w:rsid w:val="00F45F93"/>
    <w:rsid w:val="00F46960"/>
    <w:rsid w:val="00F46A00"/>
    <w:rsid w:val="00F47599"/>
    <w:rsid w:val="00F47608"/>
    <w:rsid w:val="00F47A30"/>
    <w:rsid w:val="00F47C2F"/>
    <w:rsid w:val="00F47DAA"/>
    <w:rsid w:val="00F47F8C"/>
    <w:rsid w:val="00F504DB"/>
    <w:rsid w:val="00F50E80"/>
    <w:rsid w:val="00F51D90"/>
    <w:rsid w:val="00F521DA"/>
    <w:rsid w:val="00F523A4"/>
    <w:rsid w:val="00F52D34"/>
    <w:rsid w:val="00F53525"/>
    <w:rsid w:val="00F53F09"/>
    <w:rsid w:val="00F54922"/>
    <w:rsid w:val="00F562CB"/>
    <w:rsid w:val="00F5638F"/>
    <w:rsid w:val="00F568CF"/>
    <w:rsid w:val="00F568E0"/>
    <w:rsid w:val="00F572A5"/>
    <w:rsid w:val="00F57D68"/>
    <w:rsid w:val="00F57EBD"/>
    <w:rsid w:val="00F6006C"/>
    <w:rsid w:val="00F6023A"/>
    <w:rsid w:val="00F60479"/>
    <w:rsid w:val="00F60833"/>
    <w:rsid w:val="00F6155E"/>
    <w:rsid w:val="00F6195B"/>
    <w:rsid w:val="00F61AF1"/>
    <w:rsid w:val="00F622B2"/>
    <w:rsid w:val="00F62B47"/>
    <w:rsid w:val="00F62B9A"/>
    <w:rsid w:val="00F6365B"/>
    <w:rsid w:val="00F645AA"/>
    <w:rsid w:val="00F64601"/>
    <w:rsid w:val="00F64D42"/>
    <w:rsid w:val="00F66303"/>
    <w:rsid w:val="00F66B86"/>
    <w:rsid w:val="00F66C53"/>
    <w:rsid w:val="00F66C85"/>
    <w:rsid w:val="00F67AB6"/>
    <w:rsid w:val="00F67DAF"/>
    <w:rsid w:val="00F70025"/>
    <w:rsid w:val="00F70226"/>
    <w:rsid w:val="00F70AB1"/>
    <w:rsid w:val="00F70B56"/>
    <w:rsid w:val="00F71E17"/>
    <w:rsid w:val="00F72826"/>
    <w:rsid w:val="00F728CE"/>
    <w:rsid w:val="00F72FF7"/>
    <w:rsid w:val="00F73A8D"/>
    <w:rsid w:val="00F74716"/>
    <w:rsid w:val="00F74AF3"/>
    <w:rsid w:val="00F758E5"/>
    <w:rsid w:val="00F75AD1"/>
    <w:rsid w:val="00F7627B"/>
    <w:rsid w:val="00F769C9"/>
    <w:rsid w:val="00F76C71"/>
    <w:rsid w:val="00F77035"/>
    <w:rsid w:val="00F772E0"/>
    <w:rsid w:val="00F774CA"/>
    <w:rsid w:val="00F77B82"/>
    <w:rsid w:val="00F80653"/>
    <w:rsid w:val="00F8074B"/>
    <w:rsid w:val="00F8136D"/>
    <w:rsid w:val="00F816E4"/>
    <w:rsid w:val="00F81D99"/>
    <w:rsid w:val="00F820F6"/>
    <w:rsid w:val="00F82B85"/>
    <w:rsid w:val="00F82C28"/>
    <w:rsid w:val="00F8339D"/>
    <w:rsid w:val="00F833A9"/>
    <w:rsid w:val="00F835AB"/>
    <w:rsid w:val="00F83E5F"/>
    <w:rsid w:val="00F841F5"/>
    <w:rsid w:val="00F8464C"/>
    <w:rsid w:val="00F84FE3"/>
    <w:rsid w:val="00F8520D"/>
    <w:rsid w:val="00F854AC"/>
    <w:rsid w:val="00F85772"/>
    <w:rsid w:val="00F8630F"/>
    <w:rsid w:val="00F86DA3"/>
    <w:rsid w:val="00F86FF9"/>
    <w:rsid w:val="00F8700B"/>
    <w:rsid w:val="00F8766D"/>
    <w:rsid w:val="00F87AA6"/>
    <w:rsid w:val="00F90BF3"/>
    <w:rsid w:val="00F9127D"/>
    <w:rsid w:val="00F91C92"/>
    <w:rsid w:val="00F921DD"/>
    <w:rsid w:val="00F92267"/>
    <w:rsid w:val="00F92644"/>
    <w:rsid w:val="00F927E5"/>
    <w:rsid w:val="00F930DF"/>
    <w:rsid w:val="00F93597"/>
    <w:rsid w:val="00F942C2"/>
    <w:rsid w:val="00F94B0A"/>
    <w:rsid w:val="00F97D2C"/>
    <w:rsid w:val="00FA00EA"/>
    <w:rsid w:val="00FA0C5B"/>
    <w:rsid w:val="00FA10C2"/>
    <w:rsid w:val="00FA11DE"/>
    <w:rsid w:val="00FA2572"/>
    <w:rsid w:val="00FA2788"/>
    <w:rsid w:val="00FA3C73"/>
    <w:rsid w:val="00FA457D"/>
    <w:rsid w:val="00FA4D4D"/>
    <w:rsid w:val="00FA618D"/>
    <w:rsid w:val="00FA6374"/>
    <w:rsid w:val="00FA69FC"/>
    <w:rsid w:val="00FA6A0C"/>
    <w:rsid w:val="00FA6D92"/>
    <w:rsid w:val="00FA71E5"/>
    <w:rsid w:val="00FA7572"/>
    <w:rsid w:val="00FA7BE9"/>
    <w:rsid w:val="00FA7D25"/>
    <w:rsid w:val="00FA7EA4"/>
    <w:rsid w:val="00FB0235"/>
    <w:rsid w:val="00FB026C"/>
    <w:rsid w:val="00FB0315"/>
    <w:rsid w:val="00FB1103"/>
    <w:rsid w:val="00FB3329"/>
    <w:rsid w:val="00FB3530"/>
    <w:rsid w:val="00FB3547"/>
    <w:rsid w:val="00FB3CEF"/>
    <w:rsid w:val="00FB460B"/>
    <w:rsid w:val="00FB4A5D"/>
    <w:rsid w:val="00FB4E2C"/>
    <w:rsid w:val="00FB51CC"/>
    <w:rsid w:val="00FB55AD"/>
    <w:rsid w:val="00FB70E0"/>
    <w:rsid w:val="00FB7DF1"/>
    <w:rsid w:val="00FC02EC"/>
    <w:rsid w:val="00FC0DC1"/>
    <w:rsid w:val="00FC1396"/>
    <w:rsid w:val="00FC168A"/>
    <w:rsid w:val="00FC1751"/>
    <w:rsid w:val="00FC1846"/>
    <w:rsid w:val="00FC1A14"/>
    <w:rsid w:val="00FC1B8A"/>
    <w:rsid w:val="00FC1BEC"/>
    <w:rsid w:val="00FC24AF"/>
    <w:rsid w:val="00FC2FE1"/>
    <w:rsid w:val="00FC3656"/>
    <w:rsid w:val="00FC3B97"/>
    <w:rsid w:val="00FC41D8"/>
    <w:rsid w:val="00FC47DC"/>
    <w:rsid w:val="00FC565B"/>
    <w:rsid w:val="00FC5D4A"/>
    <w:rsid w:val="00FC6569"/>
    <w:rsid w:val="00FD08BE"/>
    <w:rsid w:val="00FD156A"/>
    <w:rsid w:val="00FD1D28"/>
    <w:rsid w:val="00FD1DD6"/>
    <w:rsid w:val="00FD1E56"/>
    <w:rsid w:val="00FD1FBA"/>
    <w:rsid w:val="00FD2C4D"/>
    <w:rsid w:val="00FD3A80"/>
    <w:rsid w:val="00FD504C"/>
    <w:rsid w:val="00FD509C"/>
    <w:rsid w:val="00FD59AB"/>
    <w:rsid w:val="00FD608C"/>
    <w:rsid w:val="00FD6107"/>
    <w:rsid w:val="00FD6337"/>
    <w:rsid w:val="00FD6C63"/>
    <w:rsid w:val="00FD6D4D"/>
    <w:rsid w:val="00FE03D6"/>
    <w:rsid w:val="00FE03DA"/>
    <w:rsid w:val="00FE0687"/>
    <w:rsid w:val="00FE0A22"/>
    <w:rsid w:val="00FE0AAE"/>
    <w:rsid w:val="00FE17D8"/>
    <w:rsid w:val="00FE1E92"/>
    <w:rsid w:val="00FE20B0"/>
    <w:rsid w:val="00FE22D8"/>
    <w:rsid w:val="00FE2F47"/>
    <w:rsid w:val="00FE3AA9"/>
    <w:rsid w:val="00FE3E9F"/>
    <w:rsid w:val="00FE4658"/>
    <w:rsid w:val="00FE5C0E"/>
    <w:rsid w:val="00FE5D83"/>
    <w:rsid w:val="00FE60CD"/>
    <w:rsid w:val="00FE6165"/>
    <w:rsid w:val="00FE7D1B"/>
    <w:rsid w:val="00FF02C6"/>
    <w:rsid w:val="00FF05F2"/>
    <w:rsid w:val="00FF0D83"/>
    <w:rsid w:val="00FF2B56"/>
    <w:rsid w:val="00FF3F59"/>
    <w:rsid w:val="00FF40E1"/>
    <w:rsid w:val="00FF4D90"/>
    <w:rsid w:val="00FF4E4C"/>
    <w:rsid w:val="00FF4FD8"/>
    <w:rsid w:val="00FF5287"/>
    <w:rsid w:val="00FF6AD9"/>
    <w:rsid w:val="00FF7257"/>
    <w:rsid w:val="00FF729B"/>
    <w:rsid w:val="00FF79AB"/>
    <w:rsid w:val="00FF7B98"/>
    <w:rsid w:val="018B5B00"/>
    <w:rsid w:val="01EF1329"/>
    <w:rsid w:val="0227311A"/>
    <w:rsid w:val="02737AA0"/>
    <w:rsid w:val="027661DE"/>
    <w:rsid w:val="02B76E14"/>
    <w:rsid w:val="02CA4A81"/>
    <w:rsid w:val="03C41A0A"/>
    <w:rsid w:val="03CE15EC"/>
    <w:rsid w:val="03E16DC3"/>
    <w:rsid w:val="04610B65"/>
    <w:rsid w:val="046E34DE"/>
    <w:rsid w:val="052713FA"/>
    <w:rsid w:val="05446E7B"/>
    <w:rsid w:val="05781AEB"/>
    <w:rsid w:val="05917805"/>
    <w:rsid w:val="06AB60C8"/>
    <w:rsid w:val="06AE65FA"/>
    <w:rsid w:val="06BB3F60"/>
    <w:rsid w:val="072A7934"/>
    <w:rsid w:val="075E49A9"/>
    <w:rsid w:val="0761665F"/>
    <w:rsid w:val="077F1302"/>
    <w:rsid w:val="079E79DA"/>
    <w:rsid w:val="07A82607"/>
    <w:rsid w:val="07D14BD6"/>
    <w:rsid w:val="08502EAB"/>
    <w:rsid w:val="09281229"/>
    <w:rsid w:val="093F26B9"/>
    <w:rsid w:val="095970FB"/>
    <w:rsid w:val="09B63701"/>
    <w:rsid w:val="0A244012"/>
    <w:rsid w:val="0A36214C"/>
    <w:rsid w:val="0A4750B0"/>
    <w:rsid w:val="0A8768C1"/>
    <w:rsid w:val="0A9D21CB"/>
    <w:rsid w:val="0B21560C"/>
    <w:rsid w:val="0BB579E9"/>
    <w:rsid w:val="0BC83278"/>
    <w:rsid w:val="0C032876"/>
    <w:rsid w:val="0C4D1800"/>
    <w:rsid w:val="0C546D2E"/>
    <w:rsid w:val="0CB41A4E"/>
    <w:rsid w:val="0CB508E5"/>
    <w:rsid w:val="0CE94122"/>
    <w:rsid w:val="0CFA1A3F"/>
    <w:rsid w:val="0D732188"/>
    <w:rsid w:val="0D812CBE"/>
    <w:rsid w:val="0DA77509"/>
    <w:rsid w:val="0DEC6AA8"/>
    <w:rsid w:val="0EDB3BFB"/>
    <w:rsid w:val="0F2C2DD3"/>
    <w:rsid w:val="0F2C5A98"/>
    <w:rsid w:val="0F3756E0"/>
    <w:rsid w:val="0F3D7069"/>
    <w:rsid w:val="0F4F5303"/>
    <w:rsid w:val="0FBD6E14"/>
    <w:rsid w:val="10DB545F"/>
    <w:rsid w:val="11486DAE"/>
    <w:rsid w:val="11665A0D"/>
    <w:rsid w:val="11E07B40"/>
    <w:rsid w:val="11EA05A4"/>
    <w:rsid w:val="11F8531E"/>
    <w:rsid w:val="12602CEB"/>
    <w:rsid w:val="126D3E38"/>
    <w:rsid w:val="12C47486"/>
    <w:rsid w:val="133E6515"/>
    <w:rsid w:val="13EE5E6D"/>
    <w:rsid w:val="14421E06"/>
    <w:rsid w:val="15226523"/>
    <w:rsid w:val="159C34CA"/>
    <w:rsid w:val="15C472A7"/>
    <w:rsid w:val="15CE07B4"/>
    <w:rsid w:val="15CE1DD3"/>
    <w:rsid w:val="16331C36"/>
    <w:rsid w:val="16AE5760"/>
    <w:rsid w:val="16D43419"/>
    <w:rsid w:val="16E44443"/>
    <w:rsid w:val="171E4693"/>
    <w:rsid w:val="17761FD6"/>
    <w:rsid w:val="17EA6114"/>
    <w:rsid w:val="1801394C"/>
    <w:rsid w:val="1803642D"/>
    <w:rsid w:val="181470E8"/>
    <w:rsid w:val="18A23DFD"/>
    <w:rsid w:val="19351C0F"/>
    <w:rsid w:val="197763A3"/>
    <w:rsid w:val="19AE20A4"/>
    <w:rsid w:val="19DB56A3"/>
    <w:rsid w:val="1A402B73"/>
    <w:rsid w:val="1A516B2E"/>
    <w:rsid w:val="1AED6CFA"/>
    <w:rsid w:val="1AEF6A73"/>
    <w:rsid w:val="1B096B66"/>
    <w:rsid w:val="1B300E3A"/>
    <w:rsid w:val="1BB5445C"/>
    <w:rsid w:val="1C8A1B6B"/>
    <w:rsid w:val="1CC42AA3"/>
    <w:rsid w:val="1CDD6249"/>
    <w:rsid w:val="1CDE6598"/>
    <w:rsid w:val="1DF5681A"/>
    <w:rsid w:val="1E14234D"/>
    <w:rsid w:val="1EB15A4A"/>
    <w:rsid w:val="1F617814"/>
    <w:rsid w:val="1F8F4381"/>
    <w:rsid w:val="1FDF6804"/>
    <w:rsid w:val="20AC0F62"/>
    <w:rsid w:val="20CC5161"/>
    <w:rsid w:val="20CD6BAD"/>
    <w:rsid w:val="210245BC"/>
    <w:rsid w:val="210556E9"/>
    <w:rsid w:val="21F04E7F"/>
    <w:rsid w:val="220C4FF4"/>
    <w:rsid w:val="2279613D"/>
    <w:rsid w:val="22B1460E"/>
    <w:rsid w:val="22DD56EF"/>
    <w:rsid w:val="237A14D9"/>
    <w:rsid w:val="238202B4"/>
    <w:rsid w:val="24373239"/>
    <w:rsid w:val="246208D0"/>
    <w:rsid w:val="24647587"/>
    <w:rsid w:val="25276E09"/>
    <w:rsid w:val="254C2D6B"/>
    <w:rsid w:val="26320B1E"/>
    <w:rsid w:val="264C7EB3"/>
    <w:rsid w:val="266752F7"/>
    <w:rsid w:val="26773DC1"/>
    <w:rsid w:val="27B3047E"/>
    <w:rsid w:val="280D0539"/>
    <w:rsid w:val="280D678A"/>
    <w:rsid w:val="287F212F"/>
    <w:rsid w:val="28F62A31"/>
    <w:rsid w:val="28FB2A87"/>
    <w:rsid w:val="29046240"/>
    <w:rsid w:val="296B0B1B"/>
    <w:rsid w:val="2A014B7E"/>
    <w:rsid w:val="2A3B1742"/>
    <w:rsid w:val="2A447B8C"/>
    <w:rsid w:val="2B3109E2"/>
    <w:rsid w:val="2B783AE7"/>
    <w:rsid w:val="2C02412C"/>
    <w:rsid w:val="2CA927FA"/>
    <w:rsid w:val="2CD51841"/>
    <w:rsid w:val="2D037B43"/>
    <w:rsid w:val="2D1B54A6"/>
    <w:rsid w:val="2D533D70"/>
    <w:rsid w:val="2E3A43D9"/>
    <w:rsid w:val="2EBB6CEE"/>
    <w:rsid w:val="2EBC05C2"/>
    <w:rsid w:val="2F184319"/>
    <w:rsid w:val="2F8E14F4"/>
    <w:rsid w:val="2FBA5CED"/>
    <w:rsid w:val="2FBC45F2"/>
    <w:rsid w:val="30606DF6"/>
    <w:rsid w:val="306925E3"/>
    <w:rsid w:val="30A82846"/>
    <w:rsid w:val="30B163E1"/>
    <w:rsid w:val="310F28E7"/>
    <w:rsid w:val="3131376D"/>
    <w:rsid w:val="31D10829"/>
    <w:rsid w:val="31D35354"/>
    <w:rsid w:val="324108D5"/>
    <w:rsid w:val="32586854"/>
    <w:rsid w:val="328F7419"/>
    <w:rsid w:val="32F26CA9"/>
    <w:rsid w:val="338719E6"/>
    <w:rsid w:val="3392421C"/>
    <w:rsid w:val="342E092A"/>
    <w:rsid w:val="344F3C87"/>
    <w:rsid w:val="34AE1F52"/>
    <w:rsid w:val="34C85348"/>
    <w:rsid w:val="34CC177B"/>
    <w:rsid w:val="34F75D34"/>
    <w:rsid w:val="350D31D1"/>
    <w:rsid w:val="35111608"/>
    <w:rsid w:val="3529097C"/>
    <w:rsid w:val="35454CD0"/>
    <w:rsid w:val="35A3072E"/>
    <w:rsid w:val="35E04358"/>
    <w:rsid w:val="35E12182"/>
    <w:rsid w:val="360D5BA8"/>
    <w:rsid w:val="364041CF"/>
    <w:rsid w:val="36462E68"/>
    <w:rsid w:val="368C11C2"/>
    <w:rsid w:val="36B129D7"/>
    <w:rsid w:val="36C245C9"/>
    <w:rsid w:val="37D60C3C"/>
    <w:rsid w:val="381B27FE"/>
    <w:rsid w:val="382A6096"/>
    <w:rsid w:val="382E5A0E"/>
    <w:rsid w:val="386D6659"/>
    <w:rsid w:val="38AF06DE"/>
    <w:rsid w:val="38CF35E8"/>
    <w:rsid w:val="38E36ACF"/>
    <w:rsid w:val="38FD4A32"/>
    <w:rsid w:val="39700FE6"/>
    <w:rsid w:val="39A93E39"/>
    <w:rsid w:val="39E54227"/>
    <w:rsid w:val="3A1931B5"/>
    <w:rsid w:val="3A8B1A13"/>
    <w:rsid w:val="3AB94550"/>
    <w:rsid w:val="3ACB5E16"/>
    <w:rsid w:val="3B23141D"/>
    <w:rsid w:val="3BED5C1E"/>
    <w:rsid w:val="3C1B439C"/>
    <w:rsid w:val="3CAD335E"/>
    <w:rsid w:val="3CFA01B4"/>
    <w:rsid w:val="3D112421"/>
    <w:rsid w:val="3D3E1B8A"/>
    <w:rsid w:val="3E187262"/>
    <w:rsid w:val="3E265A58"/>
    <w:rsid w:val="3E5D780B"/>
    <w:rsid w:val="3EA47C68"/>
    <w:rsid w:val="3EBD34B6"/>
    <w:rsid w:val="3EDB6F76"/>
    <w:rsid w:val="3FC5548A"/>
    <w:rsid w:val="3FFD6C8D"/>
    <w:rsid w:val="410331DD"/>
    <w:rsid w:val="418A0239"/>
    <w:rsid w:val="41A9618C"/>
    <w:rsid w:val="41B810BD"/>
    <w:rsid w:val="42DC761B"/>
    <w:rsid w:val="43240C13"/>
    <w:rsid w:val="433D6C2E"/>
    <w:rsid w:val="437048E9"/>
    <w:rsid w:val="43AC644B"/>
    <w:rsid w:val="43B125F1"/>
    <w:rsid w:val="43ED0DC6"/>
    <w:rsid w:val="43FE5297"/>
    <w:rsid w:val="449C6A74"/>
    <w:rsid w:val="44E4666D"/>
    <w:rsid w:val="4515798A"/>
    <w:rsid w:val="45370E34"/>
    <w:rsid w:val="453C2005"/>
    <w:rsid w:val="466B0880"/>
    <w:rsid w:val="46733805"/>
    <w:rsid w:val="46960E37"/>
    <w:rsid w:val="46C01A18"/>
    <w:rsid w:val="46FA73EB"/>
    <w:rsid w:val="482B44CE"/>
    <w:rsid w:val="48967511"/>
    <w:rsid w:val="48EE3617"/>
    <w:rsid w:val="48F50E49"/>
    <w:rsid w:val="490D166E"/>
    <w:rsid w:val="49CF2D7C"/>
    <w:rsid w:val="49D830F3"/>
    <w:rsid w:val="4A26658A"/>
    <w:rsid w:val="4ADE1320"/>
    <w:rsid w:val="4AE4077C"/>
    <w:rsid w:val="4B02784D"/>
    <w:rsid w:val="4B1038ED"/>
    <w:rsid w:val="4B103D18"/>
    <w:rsid w:val="4B681B5C"/>
    <w:rsid w:val="4B9F6A86"/>
    <w:rsid w:val="4BA95F1B"/>
    <w:rsid w:val="4C251683"/>
    <w:rsid w:val="4C454FFD"/>
    <w:rsid w:val="4C502C79"/>
    <w:rsid w:val="4D850884"/>
    <w:rsid w:val="4EDB1D86"/>
    <w:rsid w:val="4F6E1B70"/>
    <w:rsid w:val="50AE65DF"/>
    <w:rsid w:val="521945B5"/>
    <w:rsid w:val="52466271"/>
    <w:rsid w:val="52B01401"/>
    <w:rsid w:val="52B1277B"/>
    <w:rsid w:val="52FD1026"/>
    <w:rsid w:val="530670F8"/>
    <w:rsid w:val="531C0D27"/>
    <w:rsid w:val="532C5467"/>
    <w:rsid w:val="532D4459"/>
    <w:rsid w:val="534C2BE5"/>
    <w:rsid w:val="53D22C9D"/>
    <w:rsid w:val="53EC7A91"/>
    <w:rsid w:val="53ED432E"/>
    <w:rsid w:val="54683E07"/>
    <w:rsid w:val="548E13E0"/>
    <w:rsid w:val="54966540"/>
    <w:rsid w:val="552F56E3"/>
    <w:rsid w:val="55344881"/>
    <w:rsid w:val="554C0043"/>
    <w:rsid w:val="557C53B8"/>
    <w:rsid w:val="558772CD"/>
    <w:rsid w:val="55926906"/>
    <w:rsid w:val="561B1F20"/>
    <w:rsid w:val="564E7DEA"/>
    <w:rsid w:val="5652634F"/>
    <w:rsid w:val="56B04601"/>
    <w:rsid w:val="56B527FF"/>
    <w:rsid w:val="573F2DAE"/>
    <w:rsid w:val="58472D43"/>
    <w:rsid w:val="58910B6D"/>
    <w:rsid w:val="58D2274B"/>
    <w:rsid w:val="59EF227E"/>
    <w:rsid w:val="59FA7EC1"/>
    <w:rsid w:val="5A4A650E"/>
    <w:rsid w:val="5A6C1D39"/>
    <w:rsid w:val="5B0F4685"/>
    <w:rsid w:val="5B4C16AB"/>
    <w:rsid w:val="5C25514A"/>
    <w:rsid w:val="5C28672B"/>
    <w:rsid w:val="5C86505B"/>
    <w:rsid w:val="5CB14C2F"/>
    <w:rsid w:val="5CC42BB4"/>
    <w:rsid w:val="5CD56B70"/>
    <w:rsid w:val="5D045A0D"/>
    <w:rsid w:val="5D806B26"/>
    <w:rsid w:val="5DA43079"/>
    <w:rsid w:val="5DCA7286"/>
    <w:rsid w:val="5E0341A0"/>
    <w:rsid w:val="5EA0080C"/>
    <w:rsid w:val="5EAE0379"/>
    <w:rsid w:val="5F2E68F6"/>
    <w:rsid w:val="5F385194"/>
    <w:rsid w:val="5F7B30C5"/>
    <w:rsid w:val="5FD24E48"/>
    <w:rsid w:val="5FED2422"/>
    <w:rsid w:val="60535DA2"/>
    <w:rsid w:val="609C4A28"/>
    <w:rsid w:val="60AD570E"/>
    <w:rsid w:val="60D66A94"/>
    <w:rsid w:val="60E21CAF"/>
    <w:rsid w:val="60E317F8"/>
    <w:rsid w:val="60E337D7"/>
    <w:rsid w:val="61796113"/>
    <w:rsid w:val="61E70206"/>
    <w:rsid w:val="61F40CB3"/>
    <w:rsid w:val="620D2908"/>
    <w:rsid w:val="624438CC"/>
    <w:rsid w:val="62730367"/>
    <w:rsid w:val="627921AF"/>
    <w:rsid w:val="632B5DF3"/>
    <w:rsid w:val="633A15F8"/>
    <w:rsid w:val="634703D9"/>
    <w:rsid w:val="64625557"/>
    <w:rsid w:val="64803865"/>
    <w:rsid w:val="652F13D7"/>
    <w:rsid w:val="654B3C55"/>
    <w:rsid w:val="6560705A"/>
    <w:rsid w:val="65C9123C"/>
    <w:rsid w:val="65FD2C93"/>
    <w:rsid w:val="667440E1"/>
    <w:rsid w:val="66F97A20"/>
    <w:rsid w:val="675039C2"/>
    <w:rsid w:val="675B331F"/>
    <w:rsid w:val="67696832"/>
    <w:rsid w:val="67B4544C"/>
    <w:rsid w:val="68111941"/>
    <w:rsid w:val="68C161FA"/>
    <w:rsid w:val="693C74B5"/>
    <w:rsid w:val="69412A5F"/>
    <w:rsid w:val="695C6851"/>
    <w:rsid w:val="69997176"/>
    <w:rsid w:val="6A8419D3"/>
    <w:rsid w:val="6AD83814"/>
    <w:rsid w:val="6B030553"/>
    <w:rsid w:val="6B243E46"/>
    <w:rsid w:val="6B3E603E"/>
    <w:rsid w:val="6B401DAB"/>
    <w:rsid w:val="6BAA48FE"/>
    <w:rsid w:val="6C0F078D"/>
    <w:rsid w:val="6C1A634D"/>
    <w:rsid w:val="6C1C7AD4"/>
    <w:rsid w:val="6C6E10F7"/>
    <w:rsid w:val="6C8B062F"/>
    <w:rsid w:val="6CF218E5"/>
    <w:rsid w:val="6DE252C6"/>
    <w:rsid w:val="6DF4709F"/>
    <w:rsid w:val="6F3C482C"/>
    <w:rsid w:val="6F8A5233"/>
    <w:rsid w:val="70BA3C5B"/>
    <w:rsid w:val="71144DD0"/>
    <w:rsid w:val="71C24728"/>
    <w:rsid w:val="71DC69CC"/>
    <w:rsid w:val="723D4415"/>
    <w:rsid w:val="725D51E5"/>
    <w:rsid w:val="72646574"/>
    <w:rsid w:val="727F3F07"/>
    <w:rsid w:val="728E539F"/>
    <w:rsid w:val="72D24974"/>
    <w:rsid w:val="73AA595A"/>
    <w:rsid w:val="73E37359"/>
    <w:rsid w:val="7487654A"/>
    <w:rsid w:val="74DB6895"/>
    <w:rsid w:val="74F17E67"/>
    <w:rsid w:val="757D16FB"/>
    <w:rsid w:val="76751429"/>
    <w:rsid w:val="76A77DA7"/>
    <w:rsid w:val="770B16B4"/>
    <w:rsid w:val="77237FC1"/>
    <w:rsid w:val="775D0539"/>
    <w:rsid w:val="77B70EF4"/>
    <w:rsid w:val="77C460AF"/>
    <w:rsid w:val="77E008D0"/>
    <w:rsid w:val="77E67240"/>
    <w:rsid w:val="78632E2A"/>
    <w:rsid w:val="78A430F2"/>
    <w:rsid w:val="78D578AA"/>
    <w:rsid w:val="78D9133E"/>
    <w:rsid w:val="792E6243"/>
    <w:rsid w:val="79B14FDF"/>
    <w:rsid w:val="7A98380D"/>
    <w:rsid w:val="7AE81BDA"/>
    <w:rsid w:val="7B3B1E3C"/>
    <w:rsid w:val="7B645C8E"/>
    <w:rsid w:val="7B827A6B"/>
    <w:rsid w:val="7B9D2CB3"/>
    <w:rsid w:val="7BB004C2"/>
    <w:rsid w:val="7BC720F8"/>
    <w:rsid w:val="7BC73F39"/>
    <w:rsid w:val="7BF45EE8"/>
    <w:rsid w:val="7C243549"/>
    <w:rsid w:val="7C411E21"/>
    <w:rsid w:val="7C72025F"/>
    <w:rsid w:val="7CF87F76"/>
    <w:rsid w:val="7DD67DA5"/>
    <w:rsid w:val="7E300895"/>
    <w:rsid w:val="7E6E06D1"/>
    <w:rsid w:val="7EC51B0B"/>
    <w:rsid w:val="7EFF324E"/>
    <w:rsid w:val="7F413799"/>
    <w:rsid w:val="7F73348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99" w:semiHidden="0" w:name="heading 3"/>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99" w:semiHidden="0" w:name="Normal Indent"/>
    <w:lsdException w:qFormat="1" w:unhideWhenUsed="0" w:uiPriority="99" w:semiHidden="0"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ocked="1"/>
    <w:lsdException w:uiPriority="99" w:name="Closing"/>
    <w:lsdException w:uiPriority="99" w:name="Signature"/>
    <w:lsdException w:qFormat="1" w:uiPriority="1" w:name="Default Paragraph Font"/>
    <w:lsdException w:qFormat="1"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99" w:semiHidden="0" w:name="Body Text 2"/>
    <w:lsdException w:uiPriority="99" w:name="Body Text 3"/>
    <w:lsdException w:uiPriority="99" w:name="Body Text Indent 2"/>
    <w:lsdException w:qFormat="1" w:unhideWhenUsed="0" w:uiPriority="99" w:semiHidden="0" w:name="Body Text Indent 3"/>
    <w:lsdException w:uiPriority="99" w:name="Block Text"/>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0" w:semiHidden="0" w:name="Emphasis" w:locked="1"/>
    <w:lsdException w:qFormat="1" w:unhideWhenUsed="0" w:uiPriority="99"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3">
    <w:name w:val="heading 1"/>
    <w:basedOn w:val="1"/>
    <w:next w:val="1"/>
    <w:link w:val="36"/>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37"/>
    <w:qFormat/>
    <w:uiPriority w:val="99"/>
    <w:pPr>
      <w:keepNext/>
      <w:keepLines/>
      <w:spacing w:before="260" w:after="260" w:line="415" w:lineRule="auto"/>
      <w:outlineLvl w:val="1"/>
    </w:pPr>
    <w:rPr>
      <w:rFonts w:ascii="Cambria" w:hAnsi="Cambria" w:cs="Cambria"/>
      <w:b/>
      <w:bCs/>
      <w:sz w:val="32"/>
      <w:szCs w:val="32"/>
    </w:rPr>
  </w:style>
  <w:style w:type="paragraph" w:styleId="5">
    <w:name w:val="heading 3"/>
    <w:basedOn w:val="1"/>
    <w:next w:val="1"/>
    <w:link w:val="38"/>
    <w:qFormat/>
    <w:uiPriority w:val="99"/>
    <w:pPr>
      <w:widowControl/>
      <w:spacing w:before="100" w:beforeAutospacing="1" w:after="100" w:afterAutospacing="1"/>
      <w:jc w:val="left"/>
      <w:outlineLvl w:val="2"/>
    </w:pPr>
    <w:rPr>
      <w:rFonts w:ascii="宋体" w:cs="宋体"/>
      <w:b/>
      <w:bCs/>
      <w:kern w:val="0"/>
      <w:sz w:val="27"/>
      <w:szCs w:val="27"/>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2">
    <w:name w:val="footnote text"/>
    <w:basedOn w:val="1"/>
    <w:qFormat/>
    <w:uiPriority w:val="99"/>
    <w:pPr>
      <w:autoSpaceDE w:val="0"/>
      <w:autoSpaceDN w:val="0"/>
      <w:adjustRightInd w:val="0"/>
      <w:spacing w:line="240" w:lineRule="atLeast"/>
      <w:jc w:val="left"/>
    </w:pPr>
    <w:rPr>
      <w:kern w:val="0"/>
      <w:sz w:val="18"/>
      <w:szCs w:val="18"/>
    </w:rPr>
  </w:style>
  <w:style w:type="paragraph" w:styleId="6">
    <w:name w:val="Normal Indent"/>
    <w:basedOn w:val="1"/>
    <w:qFormat/>
    <w:uiPriority w:val="99"/>
    <w:pPr>
      <w:adjustRightInd w:val="0"/>
      <w:spacing w:line="360" w:lineRule="atLeast"/>
      <w:ind w:firstLine="482"/>
      <w:textAlignment w:val="baseline"/>
    </w:pPr>
    <w:rPr>
      <w:kern w:val="0"/>
      <w:sz w:val="24"/>
      <w:szCs w:val="24"/>
    </w:rPr>
  </w:style>
  <w:style w:type="paragraph" w:styleId="7">
    <w:name w:val="Document Map"/>
    <w:basedOn w:val="1"/>
    <w:qFormat/>
    <w:uiPriority w:val="99"/>
    <w:pPr>
      <w:shd w:val="clear" w:color="auto" w:fill="000080"/>
    </w:pPr>
    <w:rPr>
      <w:rFonts w:eastAsia="宋体"/>
      <w:shd w:val="clear" w:color="auto" w:fill="000080"/>
    </w:rPr>
  </w:style>
  <w:style w:type="paragraph" w:styleId="8">
    <w:name w:val="toa heading"/>
    <w:basedOn w:val="1"/>
    <w:next w:val="1"/>
    <w:qFormat/>
    <w:uiPriority w:val="0"/>
    <w:pPr>
      <w:adjustRightInd w:val="0"/>
      <w:spacing w:line="360" w:lineRule="atLeast"/>
      <w:jc w:val="center"/>
      <w:textAlignment w:val="baseline"/>
    </w:pPr>
    <w:rPr>
      <w:rFonts w:ascii="Arial" w:hAnsi="Arial" w:eastAsia="黑体"/>
      <w:kern w:val="0"/>
      <w:sz w:val="36"/>
      <w:szCs w:val="20"/>
    </w:rPr>
  </w:style>
  <w:style w:type="paragraph" w:styleId="9">
    <w:name w:val="annotation text"/>
    <w:basedOn w:val="1"/>
    <w:link w:val="39"/>
    <w:semiHidden/>
    <w:qFormat/>
    <w:uiPriority w:val="99"/>
    <w:pPr>
      <w:jc w:val="left"/>
    </w:pPr>
  </w:style>
  <w:style w:type="paragraph" w:styleId="10">
    <w:name w:val="Body Text"/>
    <w:basedOn w:val="1"/>
    <w:next w:val="11"/>
    <w:link w:val="66"/>
    <w:unhideWhenUsed/>
    <w:qFormat/>
    <w:uiPriority w:val="99"/>
    <w:pPr>
      <w:spacing w:after="120"/>
    </w:pPr>
  </w:style>
  <w:style w:type="paragraph" w:customStyle="1" w:styleId="11">
    <w:name w:val="Default"/>
    <w:unhideWhenUsed/>
    <w:qFormat/>
    <w:uiPriority w:val="99"/>
    <w:pPr>
      <w:widowControl w:val="0"/>
      <w:autoSpaceDE w:val="0"/>
      <w:autoSpaceDN w:val="0"/>
      <w:adjustRightInd w:val="0"/>
    </w:pPr>
    <w:rPr>
      <w:rFonts w:hint="eastAsia" w:ascii="仿宋_GB2312" w:hAnsi="仿宋_GB2312" w:eastAsia="仿宋_GB2312" w:cs="Times New Roman"/>
      <w:color w:val="000000"/>
      <w:sz w:val="24"/>
      <w:lang w:val="en-US" w:eastAsia="zh-CN" w:bidi="ar-SA"/>
    </w:rPr>
  </w:style>
  <w:style w:type="paragraph" w:styleId="12">
    <w:name w:val="Body Text Indent"/>
    <w:basedOn w:val="1"/>
    <w:link w:val="41"/>
    <w:qFormat/>
    <w:uiPriority w:val="99"/>
    <w:pPr>
      <w:spacing w:after="120"/>
      <w:ind w:left="200" w:leftChars="200"/>
    </w:pPr>
  </w:style>
  <w:style w:type="paragraph" w:styleId="13">
    <w:name w:val="Plain Text"/>
    <w:basedOn w:val="1"/>
    <w:link w:val="42"/>
    <w:qFormat/>
    <w:uiPriority w:val="0"/>
    <w:pPr>
      <w:widowControl/>
      <w:jc w:val="left"/>
    </w:pPr>
    <w:rPr>
      <w:rFonts w:ascii="宋体" w:cs="宋体"/>
      <w:kern w:val="0"/>
    </w:rPr>
  </w:style>
  <w:style w:type="paragraph" w:styleId="14">
    <w:name w:val="Date"/>
    <w:basedOn w:val="1"/>
    <w:next w:val="1"/>
    <w:link w:val="43"/>
    <w:qFormat/>
    <w:uiPriority w:val="99"/>
    <w:rPr>
      <w:rFonts w:ascii="宋体" w:cs="宋体"/>
      <w:sz w:val="24"/>
      <w:szCs w:val="24"/>
    </w:rPr>
  </w:style>
  <w:style w:type="paragraph" w:styleId="15">
    <w:name w:val="Balloon Text"/>
    <w:basedOn w:val="1"/>
    <w:link w:val="44"/>
    <w:semiHidden/>
    <w:qFormat/>
    <w:uiPriority w:val="99"/>
    <w:rPr>
      <w:sz w:val="18"/>
      <w:szCs w:val="18"/>
    </w:rPr>
  </w:style>
  <w:style w:type="paragraph" w:styleId="16">
    <w:name w:val="footer"/>
    <w:basedOn w:val="1"/>
    <w:link w:val="45"/>
    <w:qFormat/>
    <w:uiPriority w:val="99"/>
    <w:pPr>
      <w:tabs>
        <w:tab w:val="center" w:pos="4153"/>
        <w:tab w:val="right" w:pos="8306"/>
      </w:tabs>
      <w:snapToGrid w:val="0"/>
      <w:jc w:val="left"/>
    </w:pPr>
    <w:rPr>
      <w:sz w:val="18"/>
      <w:szCs w:val="18"/>
    </w:rPr>
  </w:style>
  <w:style w:type="paragraph" w:styleId="17">
    <w:name w:val="header"/>
    <w:basedOn w:val="1"/>
    <w:link w:val="46"/>
    <w:qFormat/>
    <w:uiPriority w:val="99"/>
    <w:pPr>
      <w:pBdr>
        <w:bottom w:val="single" w:color="auto" w:sz="6" w:space="1"/>
      </w:pBdr>
      <w:tabs>
        <w:tab w:val="center" w:pos="4153"/>
        <w:tab w:val="right" w:pos="8306"/>
      </w:tabs>
      <w:snapToGrid w:val="0"/>
      <w:jc w:val="center"/>
    </w:pPr>
    <w:rPr>
      <w:sz w:val="18"/>
      <w:szCs w:val="18"/>
    </w:rPr>
  </w:style>
  <w:style w:type="paragraph" w:styleId="18">
    <w:name w:val="Subtitle"/>
    <w:basedOn w:val="1"/>
    <w:next w:val="1"/>
    <w:link w:val="64"/>
    <w:qFormat/>
    <w:locked/>
    <w:uiPriority w:val="0"/>
    <w:pPr>
      <w:adjustRightInd w:val="0"/>
      <w:snapToGrid w:val="0"/>
      <w:spacing w:line="360" w:lineRule="auto"/>
      <w:jc w:val="center"/>
      <w:outlineLvl w:val="0"/>
    </w:pPr>
    <w:rPr>
      <w:rFonts w:ascii="Cambria" w:hAnsi="Cambria"/>
      <w:b/>
      <w:bCs/>
      <w:kern w:val="28"/>
      <w:sz w:val="32"/>
      <w:szCs w:val="32"/>
    </w:rPr>
  </w:style>
  <w:style w:type="paragraph" w:styleId="19">
    <w:name w:val="Body Text Indent 3"/>
    <w:basedOn w:val="1"/>
    <w:link w:val="47"/>
    <w:qFormat/>
    <w:uiPriority w:val="99"/>
    <w:pPr>
      <w:spacing w:line="400" w:lineRule="exact"/>
      <w:ind w:firstLine="200" w:firstLineChars="200"/>
    </w:pPr>
    <w:rPr>
      <w:sz w:val="24"/>
      <w:szCs w:val="24"/>
    </w:rPr>
  </w:style>
  <w:style w:type="paragraph" w:styleId="20">
    <w:name w:val="Body Text 2"/>
    <w:basedOn w:val="1"/>
    <w:link w:val="48"/>
    <w:qFormat/>
    <w:uiPriority w:val="99"/>
    <w:pPr>
      <w:spacing w:after="120" w:line="480" w:lineRule="auto"/>
    </w:pPr>
  </w:style>
  <w:style w:type="paragraph" w:styleId="21">
    <w:name w:val="Normal (Web)"/>
    <w:basedOn w:val="1"/>
    <w:qFormat/>
    <w:uiPriority w:val="99"/>
    <w:pPr>
      <w:widowControl/>
      <w:spacing w:before="100" w:beforeAutospacing="1" w:after="100" w:afterAutospacing="1"/>
      <w:jc w:val="left"/>
    </w:pPr>
    <w:rPr>
      <w:rFonts w:ascii="宋体" w:cs="宋体"/>
      <w:kern w:val="0"/>
      <w:sz w:val="24"/>
      <w:szCs w:val="24"/>
    </w:rPr>
  </w:style>
  <w:style w:type="paragraph" w:styleId="22">
    <w:name w:val="Title"/>
    <w:basedOn w:val="1"/>
    <w:next w:val="1"/>
    <w:qFormat/>
    <w:locked/>
    <w:uiPriority w:val="99"/>
    <w:pPr>
      <w:spacing w:before="240" w:after="60"/>
      <w:jc w:val="center"/>
      <w:outlineLvl w:val="0"/>
    </w:pPr>
    <w:rPr>
      <w:rFonts w:ascii="Cambria" w:hAnsi="Cambria"/>
      <w:b/>
      <w:bCs/>
      <w:sz w:val="32"/>
      <w:szCs w:val="32"/>
    </w:rPr>
  </w:style>
  <w:style w:type="paragraph" w:styleId="23">
    <w:name w:val="annotation subject"/>
    <w:basedOn w:val="9"/>
    <w:next w:val="9"/>
    <w:link w:val="40"/>
    <w:semiHidden/>
    <w:qFormat/>
    <w:uiPriority w:val="99"/>
    <w:rPr>
      <w:b/>
      <w:bCs/>
    </w:rPr>
  </w:style>
  <w:style w:type="paragraph" w:styleId="24">
    <w:name w:val="Body Text First Indent"/>
    <w:basedOn w:val="10"/>
    <w:next w:val="1"/>
    <w:qFormat/>
    <w:uiPriority w:val="0"/>
    <w:pPr>
      <w:spacing w:line="360" w:lineRule="auto"/>
      <w:ind w:firstLine="200" w:firstLineChars="200"/>
    </w:pPr>
    <w:rPr>
      <w:rFonts w:ascii="仿宋_GB2312" w:eastAsia="仿宋_GB2312"/>
      <w:sz w:val="30"/>
      <w:szCs w:val="30"/>
    </w:rPr>
  </w:style>
  <w:style w:type="paragraph" w:styleId="25">
    <w:name w:val="Body Text First Indent 2"/>
    <w:basedOn w:val="10"/>
    <w:next w:val="6"/>
    <w:qFormat/>
    <w:uiPriority w:val="0"/>
    <w:pPr>
      <w:tabs>
        <w:tab w:val="left" w:pos="3420"/>
      </w:tabs>
      <w:ind w:firstLine="420" w:firstLineChars="200"/>
    </w:pPr>
    <w:rPr>
      <w:rFonts w:ascii="Calibri" w:hAnsi="Calibri"/>
    </w:rPr>
  </w:style>
  <w:style w:type="table" w:styleId="27">
    <w:name w:val="Table Grid"/>
    <w:basedOn w:val="26"/>
    <w:qFormat/>
    <w:uiPriority w:val="99"/>
    <w:rPr>
      <w:rFonts w:ascii="等线" w:hAnsi="等线" w:eastAsia="等线" w:cs="等线"/>
      <w:sz w:val="24"/>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9">
    <w:name w:val="Strong"/>
    <w:basedOn w:val="28"/>
    <w:qFormat/>
    <w:uiPriority w:val="99"/>
    <w:rPr>
      <w:b/>
      <w:bCs/>
    </w:rPr>
  </w:style>
  <w:style w:type="character" w:styleId="30">
    <w:name w:val="page number"/>
    <w:basedOn w:val="28"/>
    <w:qFormat/>
    <w:uiPriority w:val="99"/>
  </w:style>
  <w:style w:type="character" w:styleId="31">
    <w:name w:val="FollowedHyperlink"/>
    <w:basedOn w:val="28"/>
    <w:qFormat/>
    <w:uiPriority w:val="99"/>
    <w:rPr>
      <w:color w:val="800080"/>
      <w:u w:val="none"/>
    </w:rPr>
  </w:style>
  <w:style w:type="character" w:styleId="32">
    <w:name w:val="Hyperlink"/>
    <w:basedOn w:val="28"/>
    <w:qFormat/>
    <w:uiPriority w:val="99"/>
    <w:rPr>
      <w:color w:val="0000FF"/>
      <w:u w:val="none"/>
    </w:rPr>
  </w:style>
  <w:style w:type="character" w:styleId="33">
    <w:name w:val="annotation reference"/>
    <w:basedOn w:val="28"/>
    <w:semiHidden/>
    <w:qFormat/>
    <w:uiPriority w:val="99"/>
    <w:rPr>
      <w:sz w:val="21"/>
      <w:szCs w:val="21"/>
    </w:rPr>
  </w:style>
  <w:style w:type="paragraph" w:customStyle="1" w:styleId="34">
    <w:name w:val="四级标题"/>
    <w:basedOn w:val="14"/>
    <w:qFormat/>
    <w:uiPriority w:val="0"/>
    <w:rPr>
      <w:rFonts w:eastAsia="黑体"/>
    </w:rPr>
  </w:style>
  <w:style w:type="paragraph" w:customStyle="1" w:styleId="35">
    <w:name w:val="段"/>
    <w:next w:val="1"/>
    <w:qFormat/>
    <w:uiPriority w:val="0"/>
    <w:pPr>
      <w:ind w:firstLine="200" w:firstLineChars="200"/>
      <w:jc w:val="both"/>
    </w:pPr>
    <w:rPr>
      <w:rFonts w:ascii="Times New Roman" w:hAnsi="Times New Roman" w:eastAsia="宋体" w:cs="Times New Roman"/>
      <w:sz w:val="21"/>
      <w:szCs w:val="21"/>
      <w:lang w:val="en-US" w:eastAsia="zh-CN" w:bidi="ar-SA"/>
    </w:rPr>
  </w:style>
  <w:style w:type="character" w:customStyle="1" w:styleId="36">
    <w:name w:val="标题 1 Char"/>
    <w:basedOn w:val="28"/>
    <w:link w:val="3"/>
    <w:qFormat/>
    <w:locked/>
    <w:uiPriority w:val="0"/>
    <w:rPr>
      <w:b/>
      <w:bCs/>
      <w:kern w:val="44"/>
      <w:sz w:val="44"/>
      <w:szCs w:val="44"/>
    </w:rPr>
  </w:style>
  <w:style w:type="character" w:customStyle="1" w:styleId="37">
    <w:name w:val="标题 2 Char"/>
    <w:basedOn w:val="28"/>
    <w:link w:val="4"/>
    <w:semiHidden/>
    <w:qFormat/>
    <w:uiPriority w:val="9"/>
    <w:rPr>
      <w:rFonts w:ascii="Cambria" w:hAnsi="Cambria" w:eastAsia="宋体" w:cs="Times New Roman"/>
      <w:b/>
      <w:bCs/>
      <w:sz w:val="32"/>
      <w:szCs w:val="32"/>
    </w:rPr>
  </w:style>
  <w:style w:type="character" w:customStyle="1" w:styleId="38">
    <w:name w:val="标题 3 Char"/>
    <w:basedOn w:val="28"/>
    <w:link w:val="5"/>
    <w:semiHidden/>
    <w:qFormat/>
    <w:uiPriority w:val="9"/>
    <w:rPr>
      <w:b/>
      <w:bCs/>
      <w:sz w:val="32"/>
      <w:szCs w:val="32"/>
    </w:rPr>
  </w:style>
  <w:style w:type="character" w:customStyle="1" w:styleId="39">
    <w:name w:val="批注文字 Char"/>
    <w:basedOn w:val="28"/>
    <w:link w:val="9"/>
    <w:semiHidden/>
    <w:qFormat/>
    <w:uiPriority w:val="99"/>
    <w:rPr>
      <w:szCs w:val="21"/>
    </w:rPr>
  </w:style>
  <w:style w:type="character" w:customStyle="1" w:styleId="40">
    <w:name w:val="批注主题 Char"/>
    <w:basedOn w:val="39"/>
    <w:link w:val="23"/>
    <w:semiHidden/>
    <w:qFormat/>
    <w:uiPriority w:val="99"/>
    <w:rPr>
      <w:b/>
      <w:bCs/>
      <w:szCs w:val="21"/>
    </w:rPr>
  </w:style>
  <w:style w:type="character" w:customStyle="1" w:styleId="41">
    <w:name w:val="正文文本缩进 Char"/>
    <w:basedOn w:val="28"/>
    <w:link w:val="12"/>
    <w:semiHidden/>
    <w:qFormat/>
    <w:uiPriority w:val="99"/>
    <w:rPr>
      <w:szCs w:val="21"/>
    </w:rPr>
  </w:style>
  <w:style w:type="character" w:customStyle="1" w:styleId="42">
    <w:name w:val="纯文本 Char"/>
    <w:basedOn w:val="28"/>
    <w:link w:val="13"/>
    <w:qFormat/>
    <w:uiPriority w:val="0"/>
    <w:rPr>
      <w:rFonts w:ascii="宋体" w:hAnsi="Courier New" w:cs="Courier New"/>
      <w:szCs w:val="21"/>
    </w:rPr>
  </w:style>
  <w:style w:type="character" w:customStyle="1" w:styleId="43">
    <w:name w:val="日期 Char"/>
    <w:basedOn w:val="28"/>
    <w:link w:val="14"/>
    <w:semiHidden/>
    <w:qFormat/>
    <w:uiPriority w:val="99"/>
    <w:rPr>
      <w:szCs w:val="21"/>
    </w:rPr>
  </w:style>
  <w:style w:type="character" w:customStyle="1" w:styleId="44">
    <w:name w:val="批注框文本 Char"/>
    <w:basedOn w:val="28"/>
    <w:link w:val="15"/>
    <w:semiHidden/>
    <w:qFormat/>
    <w:uiPriority w:val="99"/>
    <w:rPr>
      <w:sz w:val="0"/>
      <w:szCs w:val="0"/>
    </w:rPr>
  </w:style>
  <w:style w:type="character" w:customStyle="1" w:styleId="45">
    <w:name w:val="页脚 Char"/>
    <w:basedOn w:val="28"/>
    <w:link w:val="16"/>
    <w:qFormat/>
    <w:locked/>
    <w:uiPriority w:val="99"/>
    <w:rPr>
      <w:kern w:val="2"/>
      <w:sz w:val="18"/>
      <w:szCs w:val="18"/>
    </w:rPr>
  </w:style>
  <w:style w:type="character" w:customStyle="1" w:styleId="46">
    <w:name w:val="页眉 Char"/>
    <w:basedOn w:val="28"/>
    <w:link w:val="17"/>
    <w:semiHidden/>
    <w:qFormat/>
    <w:uiPriority w:val="99"/>
    <w:rPr>
      <w:sz w:val="18"/>
      <w:szCs w:val="18"/>
    </w:rPr>
  </w:style>
  <w:style w:type="character" w:customStyle="1" w:styleId="47">
    <w:name w:val="正文文本缩进 3 Char"/>
    <w:basedOn w:val="28"/>
    <w:link w:val="19"/>
    <w:semiHidden/>
    <w:qFormat/>
    <w:uiPriority w:val="99"/>
    <w:rPr>
      <w:sz w:val="16"/>
      <w:szCs w:val="16"/>
    </w:rPr>
  </w:style>
  <w:style w:type="character" w:customStyle="1" w:styleId="48">
    <w:name w:val="正文文本 2 Char1"/>
    <w:basedOn w:val="28"/>
    <w:link w:val="20"/>
    <w:semiHidden/>
    <w:qFormat/>
    <w:locked/>
    <w:uiPriority w:val="99"/>
    <w:rPr>
      <w:kern w:val="2"/>
      <w:sz w:val="21"/>
      <w:szCs w:val="21"/>
    </w:rPr>
  </w:style>
  <w:style w:type="paragraph" w:customStyle="1" w:styleId="49">
    <w:name w:val="正"/>
    <w:basedOn w:val="1"/>
    <w:qFormat/>
    <w:uiPriority w:val="0"/>
    <w:pPr>
      <w:spacing w:line="360" w:lineRule="auto"/>
      <w:ind w:left="150" w:hanging="150" w:hangingChars="150"/>
    </w:pPr>
    <w:rPr>
      <w:sz w:val="24"/>
      <w:szCs w:val="24"/>
    </w:rPr>
  </w:style>
  <w:style w:type="paragraph" w:customStyle="1" w:styleId="50">
    <w:name w:val="纯文本1"/>
    <w:basedOn w:val="1"/>
    <w:qFormat/>
    <w:uiPriority w:val="99"/>
    <w:pPr>
      <w:adjustRightInd w:val="0"/>
    </w:pPr>
    <w:rPr>
      <w:rFonts w:ascii="宋体" w:hAnsi="宋体" w:eastAsia="楷体_GB2312" w:cs="宋体"/>
      <w:sz w:val="28"/>
      <w:szCs w:val="28"/>
    </w:rPr>
  </w:style>
  <w:style w:type="paragraph" w:customStyle="1" w:styleId="51">
    <w:name w:val="列出段落1"/>
    <w:basedOn w:val="1"/>
    <w:qFormat/>
    <w:uiPriority w:val="99"/>
    <w:pPr>
      <w:ind w:firstLine="200" w:firstLineChars="200"/>
    </w:pPr>
  </w:style>
  <w:style w:type="paragraph" w:customStyle="1" w:styleId="52">
    <w:name w:val="black1"/>
    <w:basedOn w:val="1"/>
    <w:qFormat/>
    <w:uiPriority w:val="99"/>
    <w:pPr>
      <w:widowControl/>
      <w:spacing w:before="100" w:beforeAutospacing="1" w:after="100" w:afterAutospacing="1"/>
      <w:jc w:val="left"/>
    </w:pPr>
    <w:rPr>
      <w:rFonts w:ascii="宋体" w:cs="宋体"/>
      <w:kern w:val="0"/>
      <w:sz w:val="24"/>
      <w:szCs w:val="24"/>
    </w:rPr>
  </w:style>
  <w:style w:type="paragraph" w:customStyle="1" w:styleId="53">
    <w:name w:val="正文缩进2格"/>
    <w:basedOn w:val="1"/>
    <w:link w:val="57"/>
    <w:qFormat/>
    <w:uiPriority w:val="99"/>
    <w:pPr>
      <w:spacing w:line="600" w:lineRule="exact"/>
      <w:ind w:firstLine="206" w:firstLineChars="206"/>
    </w:pPr>
    <w:rPr>
      <w:rFonts w:ascii="仿宋_GB2312" w:eastAsia="仿宋_GB2312"/>
      <w:sz w:val="28"/>
      <w:szCs w:val="28"/>
    </w:rPr>
  </w:style>
  <w:style w:type="paragraph" w:customStyle="1" w:styleId="54">
    <w:name w:val="正文缩进1"/>
    <w:basedOn w:val="1"/>
    <w:qFormat/>
    <w:uiPriority w:val="99"/>
    <w:pPr>
      <w:autoSpaceDE w:val="0"/>
      <w:autoSpaceDN w:val="0"/>
      <w:adjustRightInd w:val="0"/>
      <w:ind w:firstLine="420"/>
      <w:jc w:val="left"/>
    </w:pPr>
    <w:rPr>
      <w:rFonts w:ascii="宋体" w:hAnsi="Calibri" w:cs="宋体"/>
      <w:sz w:val="24"/>
      <w:szCs w:val="24"/>
    </w:rPr>
  </w:style>
  <w:style w:type="paragraph" w:customStyle="1" w:styleId="55">
    <w:name w:val="索引 11"/>
    <w:basedOn w:val="1"/>
    <w:next w:val="1"/>
    <w:qFormat/>
    <w:uiPriority w:val="99"/>
    <w:pPr>
      <w:spacing w:line="360" w:lineRule="auto"/>
    </w:pPr>
    <w:rPr>
      <w:rFonts w:ascii="仿宋_GB2312" w:eastAsia="仿宋_GB2312" w:cs="仿宋_GB2312"/>
      <w:sz w:val="24"/>
      <w:szCs w:val="24"/>
    </w:rPr>
  </w:style>
  <w:style w:type="paragraph" w:styleId="56">
    <w:name w:val="List Paragraph"/>
    <w:basedOn w:val="1"/>
    <w:qFormat/>
    <w:uiPriority w:val="99"/>
    <w:pPr>
      <w:ind w:firstLine="420" w:firstLineChars="200"/>
    </w:pPr>
  </w:style>
  <w:style w:type="character" w:customStyle="1" w:styleId="57">
    <w:name w:val="正文缩进2格 Char Char"/>
    <w:link w:val="53"/>
    <w:qFormat/>
    <w:locked/>
    <w:uiPriority w:val="99"/>
    <w:rPr>
      <w:rFonts w:ascii="仿宋_GB2312" w:eastAsia="仿宋_GB2312" w:cs="仿宋_GB2312"/>
      <w:kern w:val="2"/>
      <w:sz w:val="28"/>
      <w:szCs w:val="28"/>
    </w:rPr>
  </w:style>
  <w:style w:type="character" w:customStyle="1" w:styleId="58">
    <w:name w:val="正文文本 2 Char"/>
    <w:basedOn w:val="28"/>
    <w:qFormat/>
    <w:uiPriority w:val="99"/>
    <w:rPr>
      <w:kern w:val="2"/>
      <w:sz w:val="24"/>
      <w:szCs w:val="24"/>
    </w:rPr>
  </w:style>
  <w:style w:type="paragraph" w:customStyle="1" w:styleId="59">
    <w:name w:val="金保标题正文"/>
    <w:qFormat/>
    <w:uiPriority w:val="99"/>
    <w:pPr>
      <w:spacing w:line="360" w:lineRule="auto"/>
      <w:ind w:firstLine="200" w:firstLineChars="200"/>
    </w:pPr>
    <w:rPr>
      <w:rFonts w:ascii="Calibri" w:hAnsi="Calibri" w:eastAsia="宋体" w:cs="Calibri"/>
      <w:kern w:val="2"/>
      <w:sz w:val="24"/>
      <w:szCs w:val="24"/>
      <w:lang w:val="en-US" w:eastAsia="zh-CN" w:bidi="ar-SA"/>
    </w:rPr>
  </w:style>
  <w:style w:type="paragraph" w:customStyle="1" w:styleId="60">
    <w:name w:val="my正文"/>
    <w:basedOn w:val="12"/>
    <w:qFormat/>
    <w:uiPriority w:val="0"/>
    <w:pPr>
      <w:spacing w:after="0" w:line="360" w:lineRule="auto"/>
      <w:ind w:left="0" w:leftChars="0" w:firstLine="540" w:firstLineChars="225"/>
    </w:pPr>
    <w:rPr>
      <w:rFonts w:ascii="宋体" w:hAnsi="宋体" w:cs="宋体"/>
      <w:kern w:val="0"/>
      <w:sz w:val="24"/>
      <w:szCs w:val="24"/>
    </w:rPr>
  </w:style>
  <w:style w:type="paragraph" w:customStyle="1" w:styleId="61">
    <w:name w:val="修订1"/>
    <w:hidden/>
    <w:semiHidden/>
    <w:qFormat/>
    <w:uiPriority w:val="99"/>
    <w:rPr>
      <w:rFonts w:ascii="Times New Roman" w:hAnsi="Times New Roman" w:eastAsia="宋体" w:cs="Times New Roman"/>
      <w:kern w:val="2"/>
      <w:sz w:val="21"/>
      <w:szCs w:val="21"/>
      <w:lang w:val="en-US" w:eastAsia="zh-CN" w:bidi="ar-SA"/>
    </w:rPr>
  </w:style>
  <w:style w:type="paragraph" w:customStyle="1" w:styleId="62">
    <w:name w:val="paragraphindent"/>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63">
    <w:name w:val="副标题 Char1"/>
    <w:qFormat/>
    <w:uiPriority w:val="0"/>
    <w:rPr>
      <w:rFonts w:ascii="Cambria" w:hAnsi="Cambria"/>
      <w:b/>
      <w:bCs/>
      <w:kern w:val="28"/>
      <w:sz w:val="32"/>
      <w:szCs w:val="32"/>
    </w:rPr>
  </w:style>
  <w:style w:type="character" w:customStyle="1" w:styleId="64">
    <w:name w:val="副标题 Char"/>
    <w:basedOn w:val="28"/>
    <w:link w:val="18"/>
    <w:qFormat/>
    <w:uiPriority w:val="0"/>
    <w:rPr>
      <w:rFonts w:ascii="Cambria" w:hAnsi="Cambria" w:cs="Times New Roman"/>
      <w:b/>
      <w:bCs/>
      <w:kern w:val="28"/>
      <w:sz w:val="32"/>
      <w:szCs w:val="32"/>
    </w:rPr>
  </w:style>
  <w:style w:type="paragraph" w:customStyle="1" w:styleId="65">
    <w:name w:val="样式11"/>
    <w:basedOn w:val="1"/>
    <w:qFormat/>
    <w:uiPriority w:val="0"/>
    <w:pPr>
      <w:numPr>
        <w:ilvl w:val="0"/>
        <w:numId w:val="1"/>
      </w:numPr>
      <w:adjustRightInd w:val="0"/>
      <w:snapToGrid w:val="0"/>
      <w:spacing w:line="440" w:lineRule="exact"/>
      <w:outlineLvl w:val="2"/>
    </w:pPr>
    <w:rPr>
      <w:rFonts w:ascii="仿宋_GB2312" w:hAnsi="宋体" w:eastAsia="仿宋_GB2312"/>
      <w:color w:val="FF0000"/>
      <w:sz w:val="28"/>
      <w:szCs w:val="28"/>
    </w:rPr>
  </w:style>
  <w:style w:type="character" w:customStyle="1" w:styleId="66">
    <w:name w:val="正文文本 Char"/>
    <w:basedOn w:val="28"/>
    <w:link w:val="10"/>
    <w:qFormat/>
    <w:uiPriority w:val="99"/>
    <w:rPr>
      <w:kern w:val="2"/>
      <w:sz w:val="21"/>
      <w:szCs w:val="21"/>
    </w:rPr>
  </w:style>
  <w:style w:type="table" w:customStyle="1" w:styleId="67">
    <w:name w:val="Table Normal"/>
    <w:semiHidden/>
    <w:unhideWhenUsed/>
    <w:qFormat/>
    <w:uiPriority w:val="0"/>
    <w:tblPr>
      <w:tblCellMar>
        <w:top w:w="0" w:type="dxa"/>
        <w:left w:w="0" w:type="dxa"/>
        <w:bottom w:w="0" w:type="dxa"/>
        <w:right w:w="0" w:type="dxa"/>
      </w:tblCellMar>
    </w:tblPr>
  </w:style>
  <w:style w:type="paragraph" w:customStyle="1" w:styleId="68">
    <w:name w:val="Table Text"/>
    <w:basedOn w:val="1"/>
    <w:semiHidden/>
    <w:qFormat/>
    <w:uiPriority w:val="0"/>
    <w:rPr>
      <w:rFonts w:eastAsia="Times New Roman"/>
      <w:sz w:val="18"/>
      <w:szCs w:val="18"/>
    </w:rPr>
  </w:style>
  <w:style w:type="character" w:customStyle="1" w:styleId="69">
    <w:name w:val="NormalCharacter"/>
    <w:semiHidden/>
    <w:qFormat/>
    <w:uiPriority w:val="0"/>
    <w:rPr>
      <w:kern w:val="2"/>
      <w:sz w:val="21"/>
      <w:szCs w:val="24"/>
      <w:lang w:val="en-US" w:eastAsia="zh-CN" w:bidi="ar-SA"/>
    </w:rPr>
  </w:style>
  <w:style w:type="table" w:customStyle="1" w:styleId="70">
    <w:name w:val="网格型1"/>
    <w:basedOn w:val="26"/>
    <w:unhideWhenUsed/>
    <w:qFormat/>
    <w:uiPriority w:val="99"/>
    <w:pPr>
      <w:widowControl w:val="0"/>
      <w:jc w:val="both"/>
    </w:pPr>
    <w:rPr>
      <w:rFonts w:ascii="Times New Roman" w:hAnsi="Times New Roman" w:eastAsia="Times New Roman"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1">
    <w:name w:val="网格型2"/>
    <w:basedOn w:val="26"/>
    <w:unhideWhenUsed/>
    <w:qFormat/>
    <w:uiPriority w:val="99"/>
    <w:pPr>
      <w:widowControl w:val="0"/>
      <w:jc w:val="both"/>
    </w:pPr>
    <w:rPr>
      <w:rFonts w:ascii="Times New Roman" w:hAnsi="Times New Roman" w:eastAsia="Times New Roman"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72">
    <w:name w:val="Body text|1"/>
    <w:basedOn w:val="1"/>
    <w:qFormat/>
    <w:uiPriority w:val="0"/>
    <w:pPr>
      <w:spacing w:line="432" w:lineRule="auto"/>
    </w:pPr>
    <w:rPr>
      <w:rFonts w:ascii="宋体" w:hAnsi="宋体" w:cs="宋体"/>
      <w:sz w:val="22"/>
      <w:szCs w:val="22"/>
      <w:lang w:val="zh-TW" w:eastAsia="zh-TW" w:bidi="zh-TW"/>
    </w:rPr>
  </w:style>
  <w:style w:type="table" w:customStyle="1" w:styleId="73">
    <w:name w:val="网格型3"/>
    <w:basedOn w:val="26"/>
    <w:qFormat/>
    <w:uiPriority w:val="59"/>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4">
    <w:name w:val="网格型4"/>
    <w:basedOn w:val="26"/>
    <w:qFormat/>
    <w:uiPriority w:val="59"/>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75">
    <w:name w:val="d"/>
    <w:basedOn w:val="1"/>
    <w:qFormat/>
    <w:uiPriority w:val="99"/>
    <w:pPr>
      <w:overflowPunct w:val="0"/>
      <w:autoSpaceDE w:val="0"/>
      <w:autoSpaceDN w:val="0"/>
      <w:adjustRightInd w:val="0"/>
      <w:snapToGrid w:val="0"/>
      <w:spacing w:line="360" w:lineRule="auto"/>
    </w:pPr>
    <w:rPr>
      <w:rFonts w:ascii="Times New Roman" w:hAnsi="Times New Roman"/>
      <w:kern w:val="0"/>
      <w:szCs w:val="21"/>
    </w:rPr>
  </w:style>
  <w:style w:type="paragraph" w:customStyle="1" w:styleId="76">
    <w:name w:val="Char"/>
    <w:basedOn w:val="1"/>
    <w:qFormat/>
    <w:uiPriority w:val="99"/>
    <w:rPr>
      <w:rFonts w:ascii="Tahoma" w:hAnsi="Tahoma"/>
      <w:sz w:val="24"/>
      <w:szCs w:val="2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D28EA29-48E2-4264-8A54-73A24C2FD3C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41</Pages>
  <Words>105</Words>
  <Characters>116</Characters>
  <Lines>207</Lines>
  <Paragraphs>58</Paragraphs>
  <TotalTime>11</TotalTime>
  <ScaleCrop>false</ScaleCrop>
  <LinksUpToDate>false</LinksUpToDate>
  <CharactersWithSpaces>122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2023-03-09T01:27:00Z</dcterms:created>
  <dc:creator>微软用户</dc:creator>
  <cp:lastModifiedBy>专业消防检测维保安装</cp:lastModifiedBy>
  <cp:lastPrinted>2024-09-29T01:19:00Z</cp:lastPrinted>
  <dcterms:modified xsi:type="dcterms:W3CDTF">2025-06-26T00:50:16Z</dcterms:modified>
  <dc:title>通州区2012年度校安工程</dc:title>
  <cp:revision>990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A9B8CF17A55948889C8A08A41FE6DCD8_13</vt:lpwstr>
  </property>
  <property fmtid="{D5CDD505-2E9C-101B-9397-08002B2CF9AE}" pid="4" name="KSOTemplateDocerSaveRecord">
    <vt:lpwstr>eyJoZGlkIjoiNGU5YTk2NWU3OTRhNTU0YjZlNWE0ODExMjY4YzM0MTgiLCJ1c2VySWQiOiI1Mjc4OTQxNDYifQ==</vt:lpwstr>
  </property>
</Properties>
</file>